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jpeg" ContentType="image/jpeg"/>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right="5" w:hanging="0"/>
        <w:rPr/>
      </w:pPr>
      <w:r>
        <w:rPr/>
        <w:drawing>
          <wp:anchor behindDoc="0" distT="0" distB="0" distL="114300" distR="114300" simplePos="0" locked="0" layoutInCell="1" allowOverlap="1" relativeHeight="2">
            <wp:simplePos x="0" y="0"/>
            <wp:positionH relativeFrom="column">
              <wp:posOffset>4992370</wp:posOffset>
            </wp:positionH>
            <wp:positionV relativeFrom="paragraph">
              <wp:posOffset>-152400</wp:posOffset>
            </wp:positionV>
            <wp:extent cx="1341120" cy="1124585"/>
            <wp:effectExtent l="0" t="0" r="0" b="0"/>
            <wp:wrapSquare wrapText="bothSides"/>
            <wp:docPr id="1" name="Picture 3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4" descr=""/>
                    <pic:cNvPicPr>
                      <a:picLocks noChangeAspect="1" noChangeArrowheads="1"/>
                    </pic:cNvPicPr>
                  </pic:nvPicPr>
                  <pic:blipFill>
                    <a:blip r:embed="rId2"/>
                    <a:stretch>
                      <a:fillRect/>
                    </a:stretch>
                  </pic:blipFill>
                  <pic:spPr bwMode="auto">
                    <a:xfrm>
                      <a:off x="0" y="0"/>
                      <a:ext cx="1341120" cy="1124585"/>
                    </a:xfrm>
                    <a:prstGeom prst="rect">
                      <a:avLst/>
                    </a:prstGeom>
                  </pic:spPr>
                </pic:pic>
              </a:graphicData>
            </a:graphic>
          </wp:anchor>
        </w:drawing>
      </w:r>
    </w:p>
    <w:p>
      <w:pPr>
        <w:pStyle w:val="Normal"/>
        <w:spacing w:lineRule="auto" w:line="240" w:before="0" w:after="0"/>
        <w:ind w:right="5" w:hanging="0"/>
        <w:rPr/>
      </w:pPr>
      <w:r>
        <w:rPr/>
      </w:r>
    </w:p>
    <w:p>
      <w:pPr>
        <w:pStyle w:val="Normal"/>
        <w:spacing w:lineRule="auto" w:line="240" w:before="0" w:after="0"/>
        <w:ind w:right="5" w:hanging="0"/>
        <w:rPr/>
      </w:pPr>
      <w:r>
        <w:rPr/>
      </w:r>
    </w:p>
    <w:p>
      <w:pPr>
        <w:pStyle w:val="Normal"/>
        <w:spacing w:lineRule="auto" w:line="240" w:before="0" w:after="0"/>
        <w:ind w:right="5" w:hanging="0"/>
        <w:rPr>
          <w:sz w:val="28"/>
        </w:rPr>
      </w:pPr>
      <w:r>
        <w:rPr>
          <w:sz w:val="28"/>
        </w:rPr>
      </w:r>
    </w:p>
    <w:p>
      <w:pPr>
        <w:pStyle w:val="Normal"/>
        <w:spacing w:lineRule="auto" w:line="240" w:before="0" w:after="0"/>
        <w:ind w:right="5" w:hanging="0"/>
        <w:rPr>
          <w:sz w:val="28"/>
        </w:rPr>
      </w:pPr>
      <w:r>
        <w:rPr>
          <w:sz w:val="28"/>
        </w:rPr>
      </w:r>
    </w:p>
    <w:p>
      <w:pPr>
        <w:pStyle w:val="Normal"/>
        <w:spacing w:lineRule="auto" w:line="240" w:before="0" w:after="0"/>
        <w:ind w:right="5" w:hanging="0"/>
        <w:rPr>
          <w:sz w:val="28"/>
        </w:rPr>
      </w:pPr>
      <w:r>
        <w:rPr>
          <w:sz w:val="28"/>
        </w:rPr>
        <w:t>Technický list</w:t>
      </w:r>
    </w:p>
    <w:p>
      <w:pPr>
        <w:pStyle w:val="Normal"/>
        <w:spacing w:lineRule="auto" w:line="240" w:before="0" w:after="0"/>
        <w:ind w:right="5" w:hanging="0"/>
        <w:rPr/>
      </w:pPr>
      <w:r>
        <w:rPr>
          <w:b/>
          <w:sz w:val="44"/>
          <w:szCs w:val="44"/>
        </w:rPr>
        <w:t>Lazura</w:t>
      </w:r>
      <w:r>
        <w:rPr>
          <w:b/>
          <w:sz w:val="44"/>
          <w:szCs w:val="44"/>
        </w:rPr>
        <w:t xml:space="preserve"> do </w:t>
      </w:r>
      <w:bookmarkStart w:id="0" w:name="__DdeLink__4976_3561275967"/>
      <w:r>
        <w:rPr>
          <w:b/>
          <w:sz w:val="44"/>
          <w:szCs w:val="44"/>
        </w:rPr>
        <w:t>exteriéru</w:t>
      </w:r>
      <w:bookmarkEnd w:id="0"/>
    </w:p>
    <w:p>
      <w:pPr>
        <w:pStyle w:val="Normal"/>
        <w:spacing w:lineRule="auto" w:line="240" w:before="0" w:after="0"/>
        <w:ind w:right="5" w:hanging="0"/>
        <w:rPr>
          <w:b/>
          <w:b/>
          <w:sz w:val="44"/>
          <w:szCs w:val="44"/>
        </w:rPr>
      </w:pPr>
      <w:r>
        <w:rPr>
          <w:b/>
          <w:sz w:val="44"/>
          <w:szCs w:val="44"/>
        </w:rPr>
        <w:t>KALDET č. 281</w:t>
      </w:r>
    </w:p>
    <w:p>
      <w:pPr>
        <w:pStyle w:val="Normal"/>
        <w:spacing w:lineRule="auto" w:line="240" w:before="0" w:after="0"/>
        <w:ind w:right="5" w:hanging="0"/>
        <w:rPr>
          <w:b/>
          <w:b/>
          <w:sz w:val="44"/>
          <w:szCs w:val="44"/>
        </w:rPr>
      </w:pPr>
      <w:r>
        <w:rPr>
          <w:b/>
          <w:sz w:val="44"/>
          <w:szCs w:val="44"/>
        </w:rPr>
      </w:r>
    </w:p>
    <w:tbl>
      <w:tblPr>
        <w:tblStyle w:val="Mkatabulky"/>
        <w:tblW w:w="9969" w:type="dxa"/>
        <w:jc w:val="left"/>
        <w:tblInd w:w="0" w:type="dxa"/>
        <w:tblCellMar>
          <w:top w:w="0" w:type="dxa"/>
          <w:left w:w="108" w:type="dxa"/>
          <w:bottom w:w="0" w:type="dxa"/>
          <w:right w:w="108" w:type="dxa"/>
        </w:tblCellMar>
        <w:tblLook w:firstRow="1" w:noVBand="1" w:lastRow="0" w:firstColumn="1" w:lastColumn="0" w:noHBand="0" w:val="04a0"/>
      </w:tblPr>
      <w:tblGrid>
        <w:gridCol w:w="1874"/>
        <w:gridCol w:w="1245"/>
        <w:gridCol w:w="642"/>
        <w:gridCol w:w="2051"/>
        <w:gridCol w:w="2248"/>
        <w:gridCol w:w="1909"/>
      </w:tblGrid>
      <w:tr>
        <w:trPr>
          <w:trHeight w:val="486" w:hRule="atLeast"/>
        </w:trPr>
        <w:tc>
          <w:tcPr>
            <w:tcW w:w="1874" w:type="dxa"/>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t>Oblast použití</w:t>
            </w:r>
          </w:p>
        </w:tc>
        <w:tc>
          <w:tcPr>
            <w:tcW w:w="8095" w:type="dxa"/>
            <w:gridSpan w:val="5"/>
            <w:tcBorders>
              <w:top w:val="nil"/>
              <w:left w:val="nil"/>
              <w:bottom w:val="nil"/>
              <w:right w:val="nil"/>
              <w:insideH w:val="nil"/>
              <w:insideV w:val="nil"/>
            </w:tcBorders>
            <w:shd w:fill="auto" w:val="clear"/>
          </w:tcPr>
          <w:p>
            <w:pPr>
              <w:pStyle w:val="Normal"/>
              <w:spacing w:lineRule="auto" w:line="240" w:before="0" w:after="0"/>
              <w:jc w:val="both"/>
              <w:rPr>
                <w:sz w:val="17"/>
              </w:rPr>
            </w:pPr>
            <w:r>
              <w:rPr>
                <w:sz w:val="17"/>
              </w:rPr>
              <w:t>K ošetření všech druhů masivního dřeva v exteriéru. V interiéru pouze na okna. Není vhodné na balkonové podlahy a jiné pochozí plochy.</w:t>
            </w:r>
          </w:p>
        </w:tc>
      </w:tr>
      <w:tr>
        <w:trPr>
          <w:trHeight w:val="124" w:hRule="atLeast"/>
        </w:trPr>
        <w:tc>
          <w:tcPr>
            <w:tcW w:w="1874" w:type="dxa"/>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r>
          </w:p>
        </w:tc>
        <w:tc>
          <w:tcPr>
            <w:tcW w:w="8095" w:type="dxa"/>
            <w:gridSpan w:val="5"/>
            <w:tcBorders>
              <w:top w:val="nil"/>
              <w:left w:val="nil"/>
              <w:bottom w:val="nil"/>
              <w:right w:val="nil"/>
              <w:insideH w:val="nil"/>
              <w:insideV w:val="nil"/>
            </w:tcBorders>
            <w:shd w:fill="auto" w:val="clear"/>
          </w:tcPr>
          <w:p>
            <w:pPr>
              <w:pStyle w:val="Normal"/>
              <w:spacing w:lineRule="auto" w:line="240" w:before="0" w:after="0"/>
              <w:jc w:val="both"/>
              <w:rPr>
                <w:sz w:val="17"/>
              </w:rPr>
            </w:pPr>
            <w:r>
              <w:rPr>
                <w:sz w:val="17"/>
              </w:rPr>
            </w:r>
          </w:p>
        </w:tc>
      </w:tr>
      <w:tr>
        <w:trPr>
          <w:trHeight w:val="594" w:hRule="atLeast"/>
        </w:trPr>
        <w:tc>
          <w:tcPr>
            <w:tcW w:w="1874" w:type="dxa"/>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t>Vlastnosti</w:t>
            </w:r>
          </w:p>
        </w:tc>
        <w:tc>
          <w:tcPr>
            <w:tcW w:w="8095" w:type="dxa"/>
            <w:gridSpan w:val="5"/>
            <w:tcBorders>
              <w:top w:val="nil"/>
              <w:left w:val="nil"/>
              <w:bottom w:val="nil"/>
              <w:right w:val="nil"/>
              <w:insideH w:val="nil"/>
              <w:insideV w:val="nil"/>
            </w:tcBorders>
            <w:shd w:fill="auto" w:val="clear"/>
          </w:tcPr>
          <w:p>
            <w:pPr>
              <w:pStyle w:val="Normal"/>
              <w:spacing w:lineRule="auto" w:line="240" w:before="0" w:after="0"/>
              <w:jc w:val="both"/>
              <w:rPr>
                <w:sz w:val="17"/>
              </w:rPr>
            </w:pPr>
            <w:r>
              <w:rPr>
                <w:sz w:val="17"/>
              </w:rPr>
              <w:t>Oživuje přírodní texturu dřeva. Po nanesení třetího nátěru odpuzuje vodu, je odolné proti klimatickým podmínkám a propouští vodní páru. Odolné vůči slinám a potu podle německé průmyslové normy DIN 53 160. Podle DIN EN 71, část 3 vhodné i pro hračky. Výrobek neobsahuje ochranu proti houbám způsobujícím modrání.</w:t>
            </w:r>
          </w:p>
        </w:tc>
      </w:tr>
      <w:tr>
        <w:trPr>
          <w:trHeight w:val="204" w:hRule="atLeast"/>
        </w:trPr>
        <w:tc>
          <w:tcPr>
            <w:tcW w:w="1874" w:type="dxa"/>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r>
          </w:p>
        </w:tc>
        <w:tc>
          <w:tcPr>
            <w:tcW w:w="8095" w:type="dxa"/>
            <w:gridSpan w:val="5"/>
            <w:tcBorders>
              <w:top w:val="nil"/>
              <w:left w:val="nil"/>
              <w:bottom w:val="nil"/>
              <w:right w:val="nil"/>
              <w:insideH w:val="nil"/>
              <w:insideV w:val="nil"/>
            </w:tcBorders>
            <w:shd w:fill="auto" w:val="clear"/>
          </w:tcPr>
          <w:p>
            <w:pPr>
              <w:pStyle w:val="Normal"/>
              <w:spacing w:lineRule="auto" w:line="240" w:before="0" w:after="0"/>
              <w:jc w:val="both"/>
              <w:rPr>
                <w:sz w:val="17"/>
              </w:rPr>
            </w:pPr>
            <w:r>
              <w:rPr>
                <w:sz w:val="17"/>
              </w:rPr>
            </w:r>
          </w:p>
        </w:tc>
      </w:tr>
      <w:tr>
        <w:trPr/>
        <w:tc>
          <w:tcPr>
            <w:tcW w:w="1874" w:type="dxa"/>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t>Složení</w:t>
            </w:r>
          </w:p>
        </w:tc>
        <w:tc>
          <w:tcPr>
            <w:tcW w:w="8095" w:type="dxa"/>
            <w:gridSpan w:val="5"/>
            <w:tcBorders>
              <w:top w:val="nil"/>
              <w:left w:val="nil"/>
              <w:bottom w:val="nil"/>
              <w:right w:val="nil"/>
              <w:insideH w:val="nil"/>
              <w:insideV w:val="nil"/>
            </w:tcBorders>
            <w:shd w:fill="auto" w:val="clear"/>
          </w:tcPr>
          <w:p>
            <w:pPr>
              <w:pStyle w:val="Normal"/>
              <w:spacing w:lineRule="auto" w:line="240" w:before="0" w:after="0"/>
              <w:jc w:val="both"/>
              <w:rPr>
                <w:sz w:val="17"/>
              </w:rPr>
            </w:pPr>
            <w:r>
              <w:rPr>
                <w:sz w:val="17"/>
              </w:rPr>
              <w:t>Liší se podle odstínu: Izoalifáty, lněný olej – polymerovaný olej – ester přírodní pryskyřice, dřevní olej, ricinový olej-ester přírodní pryskyřice, lněný olej, dřevní olej-polymerovaný olej, lněný olej-polymerovaný olej, lněný olej-dřevní olej-polymerovaný olej, minerální pigmenty, mikronizovaný vosk, kyselina křemičitá, dehydrovaný aminocukr, sójový lecitin, oxid titaničitý, pomerančový olej a bezolovnatá sušidla (Ca, Co, Zr, Zn).</w:t>
            </w:r>
          </w:p>
        </w:tc>
      </w:tr>
      <w:tr>
        <w:trPr/>
        <w:tc>
          <w:tcPr>
            <w:tcW w:w="1874" w:type="dxa"/>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r>
          </w:p>
        </w:tc>
        <w:tc>
          <w:tcPr>
            <w:tcW w:w="8095" w:type="dxa"/>
            <w:gridSpan w:val="5"/>
            <w:tcBorders>
              <w:top w:val="nil"/>
              <w:left w:val="nil"/>
              <w:bottom w:val="nil"/>
              <w:right w:val="nil"/>
              <w:insideH w:val="nil"/>
              <w:insideV w:val="nil"/>
            </w:tcBorders>
            <w:shd w:fill="auto" w:val="clear"/>
          </w:tcPr>
          <w:p>
            <w:pPr>
              <w:pStyle w:val="Normal"/>
              <w:spacing w:lineRule="auto" w:line="240" w:before="0" w:after="0"/>
              <w:jc w:val="both"/>
              <w:rPr>
                <w:sz w:val="17"/>
              </w:rPr>
            </w:pPr>
            <w:r>
              <w:rPr>
                <w:sz w:val="17"/>
              </w:rPr>
            </w:r>
          </w:p>
        </w:tc>
      </w:tr>
      <w:tr>
        <w:trPr/>
        <w:tc>
          <w:tcPr>
            <w:tcW w:w="1874" w:type="dxa"/>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t>Barevné odstíny</w:t>
            </w:r>
          </w:p>
        </w:tc>
        <w:tc>
          <w:tcPr>
            <w:tcW w:w="1887" w:type="dxa"/>
            <w:gridSpan w:val="2"/>
            <w:tcBorders>
              <w:top w:val="nil"/>
              <w:left w:val="nil"/>
              <w:bottom w:val="nil"/>
              <w:right w:val="nil"/>
              <w:insideH w:val="nil"/>
              <w:insideV w:val="nil"/>
            </w:tcBorders>
            <w:shd w:fill="auto" w:val="clear"/>
          </w:tcPr>
          <w:p>
            <w:pPr>
              <w:pStyle w:val="Normal"/>
              <w:spacing w:lineRule="auto" w:line="240" w:before="0" w:after="0"/>
              <w:jc w:val="both"/>
              <w:rPr>
                <w:sz w:val="17"/>
              </w:rPr>
            </w:pPr>
            <w:r>
              <w:rPr>
                <w:sz w:val="17"/>
              </w:rPr>
              <w:t>022 zimostráz</w:t>
            </w:r>
          </w:p>
          <w:p>
            <w:pPr>
              <w:pStyle w:val="Normal"/>
              <w:spacing w:lineRule="auto" w:line="240" w:before="0" w:after="0"/>
              <w:jc w:val="both"/>
              <w:rPr>
                <w:sz w:val="17"/>
              </w:rPr>
            </w:pPr>
            <w:r>
              <w:rPr>
                <w:sz w:val="17"/>
              </w:rPr>
              <w:t>032 pinie</w:t>
            </w:r>
          </w:p>
          <w:p>
            <w:pPr>
              <w:pStyle w:val="Normal"/>
              <w:spacing w:lineRule="auto" w:line="240" w:before="0" w:after="0"/>
              <w:jc w:val="both"/>
              <w:rPr>
                <w:sz w:val="17"/>
              </w:rPr>
            </w:pPr>
            <w:r>
              <w:rPr>
                <w:sz w:val="17"/>
              </w:rPr>
              <w:t>042 teak tmavý</w:t>
            </w:r>
          </w:p>
          <w:p>
            <w:pPr>
              <w:pStyle w:val="Normal"/>
              <w:spacing w:lineRule="auto" w:line="240" w:before="0" w:after="0"/>
              <w:jc w:val="both"/>
              <w:rPr>
                <w:sz w:val="17"/>
              </w:rPr>
            </w:pPr>
            <w:r>
              <w:rPr>
                <w:sz w:val="17"/>
              </w:rPr>
              <w:t>052 brazil</w:t>
            </w:r>
          </w:p>
        </w:tc>
        <w:tc>
          <w:tcPr>
            <w:tcW w:w="2051" w:type="dxa"/>
            <w:tcBorders>
              <w:top w:val="nil"/>
              <w:left w:val="nil"/>
              <w:bottom w:val="nil"/>
              <w:right w:val="nil"/>
              <w:insideH w:val="nil"/>
              <w:insideV w:val="nil"/>
            </w:tcBorders>
            <w:shd w:fill="auto" w:val="clear"/>
          </w:tcPr>
          <w:p>
            <w:pPr>
              <w:pStyle w:val="Normal"/>
              <w:spacing w:lineRule="auto" w:line="240" w:before="0" w:after="0"/>
              <w:jc w:val="both"/>
              <w:rPr>
                <w:sz w:val="17"/>
              </w:rPr>
            </w:pPr>
            <w:r>
              <w:rPr>
                <w:sz w:val="17"/>
              </w:rPr>
              <w:t>054 mahagon</w:t>
            </w:r>
          </w:p>
          <w:p>
            <w:pPr>
              <w:pStyle w:val="Normal"/>
              <w:spacing w:lineRule="auto" w:line="240" w:before="0" w:after="0"/>
              <w:jc w:val="both"/>
              <w:rPr>
                <w:sz w:val="17"/>
              </w:rPr>
            </w:pPr>
            <w:r>
              <w:rPr>
                <w:sz w:val="17"/>
              </w:rPr>
              <w:t>062 ořech</w:t>
            </w:r>
          </w:p>
          <w:p>
            <w:pPr>
              <w:pStyle w:val="Normal"/>
              <w:spacing w:lineRule="auto" w:line="240" w:before="0" w:after="0"/>
              <w:jc w:val="both"/>
              <w:rPr>
                <w:sz w:val="17"/>
              </w:rPr>
            </w:pPr>
            <w:r>
              <w:rPr>
                <w:sz w:val="17"/>
              </w:rPr>
              <w:t>076 dub</w:t>
            </w:r>
          </w:p>
        </w:tc>
        <w:tc>
          <w:tcPr>
            <w:tcW w:w="2248" w:type="dxa"/>
            <w:tcBorders>
              <w:top w:val="nil"/>
              <w:left w:val="nil"/>
              <w:bottom w:val="nil"/>
              <w:right w:val="nil"/>
              <w:insideH w:val="nil"/>
              <w:insideV w:val="nil"/>
            </w:tcBorders>
            <w:shd w:fill="auto" w:val="clear"/>
          </w:tcPr>
          <w:p>
            <w:pPr>
              <w:pStyle w:val="Normal"/>
              <w:spacing w:lineRule="auto" w:line="240" w:before="0" w:after="0"/>
              <w:jc w:val="both"/>
              <w:rPr>
                <w:sz w:val="17"/>
              </w:rPr>
            </w:pPr>
            <w:r>
              <w:rPr>
                <w:sz w:val="17"/>
              </w:rPr>
              <w:t>082 palisandr</w:t>
            </w:r>
          </w:p>
          <w:p>
            <w:pPr>
              <w:pStyle w:val="Normal"/>
              <w:spacing w:lineRule="auto" w:line="240" w:before="0" w:after="0"/>
              <w:jc w:val="both"/>
              <w:rPr>
                <w:sz w:val="17"/>
              </w:rPr>
            </w:pPr>
            <w:r>
              <w:rPr>
                <w:sz w:val="17"/>
              </w:rPr>
              <w:t>102 ebenové dřevo</w:t>
            </w:r>
          </w:p>
          <w:p>
            <w:pPr>
              <w:pStyle w:val="Normal"/>
              <w:spacing w:lineRule="auto" w:line="240" w:before="0" w:after="0"/>
              <w:jc w:val="both"/>
              <w:rPr>
                <w:sz w:val="17"/>
              </w:rPr>
            </w:pPr>
            <w:r>
              <w:rPr>
                <w:sz w:val="17"/>
              </w:rPr>
              <w:t>113 zelená</w:t>
            </w:r>
          </w:p>
        </w:tc>
        <w:tc>
          <w:tcPr>
            <w:tcW w:w="1909" w:type="dxa"/>
            <w:tcBorders>
              <w:top w:val="nil"/>
              <w:left w:val="nil"/>
              <w:bottom w:val="nil"/>
              <w:right w:val="nil"/>
              <w:insideH w:val="nil"/>
              <w:insideV w:val="nil"/>
            </w:tcBorders>
            <w:shd w:fill="auto" w:val="clear"/>
          </w:tcPr>
          <w:p>
            <w:pPr>
              <w:pStyle w:val="Normal"/>
              <w:spacing w:lineRule="auto" w:line="240" w:before="0" w:after="0"/>
              <w:jc w:val="both"/>
              <w:rPr>
                <w:sz w:val="17"/>
              </w:rPr>
            </w:pPr>
            <w:r>
              <w:rPr>
                <w:sz w:val="17"/>
              </w:rPr>
              <w:t>122 ultramarínová</w:t>
            </w:r>
          </w:p>
          <w:p>
            <w:pPr>
              <w:pStyle w:val="Normal"/>
              <w:spacing w:lineRule="auto" w:line="240" w:before="0" w:after="0"/>
              <w:jc w:val="both"/>
              <w:rPr>
                <w:sz w:val="17"/>
              </w:rPr>
            </w:pPr>
            <w:r>
              <w:rPr>
                <w:sz w:val="17"/>
              </w:rPr>
              <w:t>124 staromodrá</w:t>
            </w:r>
          </w:p>
          <w:p>
            <w:pPr>
              <w:pStyle w:val="Normal"/>
              <w:spacing w:lineRule="auto" w:line="240" w:before="0" w:after="0"/>
              <w:jc w:val="both"/>
              <w:rPr>
                <w:sz w:val="17"/>
              </w:rPr>
            </w:pPr>
            <w:r>
              <w:rPr>
                <w:sz w:val="17"/>
              </w:rPr>
              <w:t>212 světle šedá</w:t>
            </w:r>
          </w:p>
        </w:tc>
      </w:tr>
      <w:tr>
        <w:trPr/>
        <w:tc>
          <w:tcPr>
            <w:tcW w:w="1874" w:type="dxa"/>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r>
          </w:p>
        </w:tc>
        <w:tc>
          <w:tcPr>
            <w:tcW w:w="8095" w:type="dxa"/>
            <w:gridSpan w:val="5"/>
            <w:tcBorders>
              <w:top w:val="nil"/>
              <w:left w:val="nil"/>
              <w:bottom w:val="nil"/>
              <w:right w:val="nil"/>
              <w:insideH w:val="nil"/>
              <w:insideV w:val="nil"/>
            </w:tcBorders>
            <w:shd w:fill="auto" w:val="clear"/>
          </w:tcPr>
          <w:p>
            <w:pPr>
              <w:pStyle w:val="Normal"/>
              <w:spacing w:lineRule="auto" w:line="240" w:before="0" w:after="0"/>
              <w:jc w:val="both"/>
              <w:rPr>
                <w:sz w:val="17"/>
              </w:rPr>
            </w:pPr>
            <w:r>
              <w:rPr>
                <w:sz w:val="17"/>
              </w:rPr>
              <w:t>Všechny odstíny lze vzájemně míchat.</w:t>
            </w:r>
          </w:p>
        </w:tc>
      </w:tr>
      <w:tr>
        <w:trPr/>
        <w:tc>
          <w:tcPr>
            <w:tcW w:w="1874" w:type="dxa"/>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r>
          </w:p>
        </w:tc>
        <w:tc>
          <w:tcPr>
            <w:tcW w:w="8095" w:type="dxa"/>
            <w:gridSpan w:val="5"/>
            <w:tcBorders>
              <w:top w:val="nil"/>
              <w:left w:val="nil"/>
              <w:bottom w:val="nil"/>
              <w:right w:val="nil"/>
              <w:insideH w:val="nil"/>
              <w:insideV w:val="nil"/>
            </w:tcBorders>
            <w:shd w:fill="auto" w:val="clear"/>
          </w:tcPr>
          <w:p>
            <w:pPr>
              <w:pStyle w:val="Normal"/>
              <w:spacing w:lineRule="auto" w:line="240" w:before="0" w:after="0"/>
              <w:jc w:val="both"/>
              <w:rPr>
                <w:sz w:val="17"/>
              </w:rPr>
            </w:pPr>
            <w:r>
              <w:rPr>
                <w:sz w:val="17"/>
              </w:rPr>
            </w:r>
          </w:p>
        </w:tc>
      </w:tr>
      <w:tr>
        <w:trPr/>
        <w:tc>
          <w:tcPr>
            <w:tcW w:w="1874" w:type="dxa"/>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t>Ředění</w:t>
            </w:r>
          </w:p>
        </w:tc>
        <w:tc>
          <w:tcPr>
            <w:tcW w:w="8095" w:type="dxa"/>
            <w:gridSpan w:val="5"/>
            <w:tcBorders>
              <w:top w:val="nil"/>
              <w:left w:val="nil"/>
              <w:bottom w:val="nil"/>
              <w:right w:val="nil"/>
              <w:insideH w:val="nil"/>
              <w:insideV w:val="nil"/>
            </w:tcBorders>
            <w:shd w:fill="auto" w:val="clear"/>
          </w:tcPr>
          <w:p>
            <w:pPr>
              <w:pStyle w:val="Normal"/>
              <w:spacing w:lineRule="auto" w:line="240" w:before="0" w:after="0"/>
              <w:jc w:val="both"/>
              <w:rPr>
                <w:sz w:val="17"/>
              </w:rPr>
            </w:pPr>
            <w:r>
              <w:rPr>
                <w:sz w:val="17"/>
              </w:rPr>
              <w:t>Ředidlo SVALOS č. 222 nebo ředidlo pro namáčení a rozprašování SVALOS č. 293.</w:t>
            </w:r>
          </w:p>
        </w:tc>
      </w:tr>
      <w:tr>
        <w:trPr/>
        <w:tc>
          <w:tcPr>
            <w:tcW w:w="1874" w:type="dxa"/>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r>
          </w:p>
        </w:tc>
        <w:tc>
          <w:tcPr>
            <w:tcW w:w="8095" w:type="dxa"/>
            <w:gridSpan w:val="5"/>
            <w:tcBorders>
              <w:top w:val="nil"/>
              <w:left w:val="nil"/>
              <w:bottom w:val="nil"/>
              <w:right w:val="nil"/>
              <w:insideH w:val="nil"/>
              <w:insideV w:val="nil"/>
            </w:tcBorders>
            <w:shd w:fill="auto" w:val="clear"/>
          </w:tcPr>
          <w:p>
            <w:pPr>
              <w:pStyle w:val="Normal"/>
              <w:spacing w:lineRule="auto" w:line="240" w:before="0" w:after="0"/>
              <w:jc w:val="both"/>
              <w:rPr>
                <w:sz w:val="17"/>
              </w:rPr>
            </w:pPr>
            <w:r>
              <w:rPr>
                <w:sz w:val="17"/>
              </w:rPr>
            </w:r>
          </w:p>
        </w:tc>
      </w:tr>
      <w:tr>
        <w:trPr/>
        <w:tc>
          <w:tcPr>
            <w:tcW w:w="1874" w:type="dxa"/>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t>Způsob aplikace</w:t>
            </w:r>
          </w:p>
        </w:tc>
        <w:tc>
          <w:tcPr>
            <w:tcW w:w="8095" w:type="dxa"/>
            <w:gridSpan w:val="5"/>
            <w:tcBorders>
              <w:top w:val="nil"/>
              <w:left w:val="nil"/>
              <w:bottom w:val="nil"/>
              <w:right w:val="nil"/>
              <w:insideH w:val="nil"/>
              <w:insideV w:val="nil"/>
            </w:tcBorders>
            <w:shd w:fill="auto" w:val="clear"/>
          </w:tcPr>
          <w:p>
            <w:pPr>
              <w:pStyle w:val="Normal"/>
              <w:spacing w:lineRule="auto" w:line="240" w:before="0" w:after="0"/>
              <w:jc w:val="both"/>
              <w:rPr>
                <w:sz w:val="17"/>
              </w:rPr>
            </w:pPr>
            <w:r>
              <w:rPr>
                <w:sz w:val="17"/>
              </w:rPr>
              <w:t>3 vrstvy štětcem neředěné, rozprašováním (ředění max. 10 %) nebo namáčením (ředění max. 20 %), při teplotách nad 12 °C a za suchého počasí.</w:t>
            </w:r>
          </w:p>
        </w:tc>
      </w:tr>
      <w:tr>
        <w:trPr/>
        <w:tc>
          <w:tcPr>
            <w:tcW w:w="1874" w:type="dxa"/>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r>
          </w:p>
        </w:tc>
        <w:tc>
          <w:tcPr>
            <w:tcW w:w="8095" w:type="dxa"/>
            <w:gridSpan w:val="5"/>
            <w:tcBorders>
              <w:top w:val="nil"/>
              <w:left w:val="nil"/>
              <w:bottom w:val="nil"/>
              <w:right w:val="nil"/>
              <w:insideH w:val="nil"/>
              <w:insideV w:val="nil"/>
            </w:tcBorders>
            <w:shd w:fill="auto" w:val="clear"/>
          </w:tcPr>
          <w:p>
            <w:pPr>
              <w:pStyle w:val="Normal"/>
              <w:spacing w:lineRule="auto" w:line="240" w:before="0" w:after="0"/>
              <w:jc w:val="both"/>
              <w:rPr>
                <w:sz w:val="17"/>
              </w:rPr>
            </w:pPr>
            <w:r>
              <w:rPr>
                <w:sz w:val="17"/>
              </w:rPr>
            </w:r>
          </w:p>
        </w:tc>
      </w:tr>
      <w:tr>
        <w:trPr/>
        <w:tc>
          <w:tcPr>
            <w:tcW w:w="1874" w:type="dxa"/>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t>Vydatnost</w:t>
            </w:r>
          </w:p>
        </w:tc>
        <w:tc>
          <w:tcPr>
            <w:tcW w:w="8095" w:type="dxa"/>
            <w:gridSpan w:val="5"/>
            <w:tcBorders>
              <w:top w:val="nil"/>
              <w:left w:val="nil"/>
              <w:bottom w:val="nil"/>
              <w:right w:val="nil"/>
              <w:insideH w:val="nil"/>
              <w:insideV w:val="nil"/>
            </w:tcBorders>
            <w:shd w:fill="auto" w:val="clear"/>
          </w:tcPr>
          <w:p>
            <w:pPr>
              <w:pStyle w:val="Normal"/>
              <w:spacing w:lineRule="auto" w:line="240" w:before="0" w:after="0"/>
              <w:jc w:val="both"/>
              <w:rPr/>
            </w:pPr>
            <w:r>
              <w:rPr>
                <w:sz w:val="17"/>
              </w:rPr>
              <w:t xml:space="preserve">1 l neředěné </w:t>
            </w:r>
            <w:r>
              <w:rPr>
                <w:sz w:val="17"/>
              </w:rPr>
              <w:t>lazury</w:t>
            </w:r>
            <w:r>
              <w:rPr>
                <w:sz w:val="17"/>
              </w:rPr>
              <w:t xml:space="preserve"> stačí na cca 15-30 m</w:t>
            </w:r>
            <w:r>
              <w:rPr>
                <w:sz w:val="17"/>
                <w:vertAlign w:val="superscript"/>
              </w:rPr>
              <w:t>2</w:t>
            </w:r>
            <w:r>
              <w:rPr>
                <w:sz w:val="17"/>
              </w:rPr>
              <w:t xml:space="preserve"> na nátěr, tj. 44 ml/m², podle nasákavosti a povrchového stavu dřeva i podstatně méně ml/m². Vždy proveďte zkušební nátěr!</w:t>
            </w:r>
          </w:p>
        </w:tc>
      </w:tr>
      <w:tr>
        <w:trPr/>
        <w:tc>
          <w:tcPr>
            <w:tcW w:w="1874" w:type="dxa"/>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r>
          </w:p>
        </w:tc>
        <w:tc>
          <w:tcPr>
            <w:tcW w:w="8095" w:type="dxa"/>
            <w:gridSpan w:val="5"/>
            <w:tcBorders>
              <w:top w:val="nil"/>
              <w:left w:val="nil"/>
              <w:bottom w:val="nil"/>
              <w:right w:val="nil"/>
              <w:insideH w:val="nil"/>
              <w:insideV w:val="nil"/>
            </w:tcBorders>
            <w:shd w:fill="auto" w:val="clear"/>
          </w:tcPr>
          <w:p>
            <w:pPr>
              <w:pStyle w:val="Normal"/>
              <w:spacing w:lineRule="auto" w:line="240" w:before="0" w:after="0"/>
              <w:jc w:val="both"/>
              <w:rPr>
                <w:sz w:val="17"/>
              </w:rPr>
            </w:pPr>
            <w:r>
              <w:rPr>
                <w:sz w:val="17"/>
              </w:rPr>
            </w:r>
          </w:p>
        </w:tc>
      </w:tr>
      <w:tr>
        <w:trPr/>
        <w:tc>
          <w:tcPr>
            <w:tcW w:w="1874" w:type="dxa"/>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t>Doba zrání</w:t>
            </w:r>
          </w:p>
        </w:tc>
        <w:tc>
          <w:tcPr>
            <w:tcW w:w="8095" w:type="dxa"/>
            <w:gridSpan w:val="5"/>
            <w:tcBorders>
              <w:top w:val="nil"/>
              <w:left w:val="nil"/>
              <w:bottom w:val="nil"/>
              <w:right w:val="nil"/>
              <w:insideH w:val="nil"/>
              <w:insideV w:val="nil"/>
            </w:tcBorders>
            <w:shd w:fill="auto" w:val="clear"/>
          </w:tcPr>
          <w:p>
            <w:pPr>
              <w:pStyle w:val="Normal"/>
              <w:spacing w:lineRule="auto" w:line="240" w:before="0" w:after="0"/>
              <w:ind w:left="1" w:hanging="0"/>
              <w:jc w:val="both"/>
              <w:rPr>
                <w:sz w:val="17"/>
              </w:rPr>
            </w:pPr>
            <w:r>
              <w:rPr>
                <w:sz w:val="17"/>
              </w:rPr>
              <w:t>Doba zrání při teplotě 23</w:t>
            </w:r>
            <w:r>
              <w:rPr>
                <w:sz w:val="17"/>
                <w:vertAlign w:val="superscript"/>
              </w:rPr>
              <w:t>o</w:t>
            </w:r>
            <w:r>
              <w:rPr>
                <w:sz w:val="17"/>
              </w:rPr>
              <w:t>C a relativní vlhkosti vzduchu 50 % je od 12 do 24 hodin. Následné nátěry lze aplikovat po cca 24 hodinách. Při zrání zajistěte dostatečné osvětlení a větrání, aby se zrání neprodlužovalo. Při vyšších teplotách dodržujte kratší doby zrání, při nižších teplotách a vyšší vlhkosti vzduchu delší doby zrání, než je uvedeno výše.</w:t>
            </w:r>
          </w:p>
        </w:tc>
      </w:tr>
      <w:tr>
        <w:trPr/>
        <w:tc>
          <w:tcPr>
            <w:tcW w:w="1874" w:type="dxa"/>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r>
          </w:p>
        </w:tc>
        <w:tc>
          <w:tcPr>
            <w:tcW w:w="8095" w:type="dxa"/>
            <w:gridSpan w:val="5"/>
            <w:tcBorders>
              <w:top w:val="nil"/>
              <w:left w:val="nil"/>
              <w:bottom w:val="nil"/>
              <w:right w:val="nil"/>
              <w:insideH w:val="nil"/>
              <w:insideV w:val="nil"/>
            </w:tcBorders>
            <w:shd w:fill="auto" w:val="clear"/>
          </w:tcPr>
          <w:p>
            <w:pPr>
              <w:pStyle w:val="Normal"/>
              <w:spacing w:lineRule="auto" w:line="240" w:before="0" w:after="0"/>
              <w:ind w:left="1" w:hanging="0"/>
              <w:jc w:val="both"/>
              <w:rPr>
                <w:sz w:val="17"/>
              </w:rPr>
            </w:pPr>
            <w:r>
              <w:rPr>
                <w:sz w:val="17"/>
              </w:rPr>
            </w:r>
          </w:p>
        </w:tc>
      </w:tr>
      <w:tr>
        <w:trPr/>
        <w:tc>
          <w:tcPr>
            <w:tcW w:w="1874" w:type="dxa"/>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t>Čištění</w:t>
            </w:r>
          </w:p>
        </w:tc>
        <w:tc>
          <w:tcPr>
            <w:tcW w:w="8095" w:type="dxa"/>
            <w:gridSpan w:val="5"/>
            <w:tcBorders>
              <w:top w:val="nil"/>
              <w:left w:val="nil"/>
              <w:bottom w:val="nil"/>
              <w:right w:val="nil"/>
              <w:insideH w:val="nil"/>
              <w:insideV w:val="nil"/>
            </w:tcBorders>
            <w:shd w:fill="auto" w:val="clear"/>
          </w:tcPr>
          <w:p>
            <w:pPr>
              <w:pStyle w:val="Normal"/>
              <w:spacing w:lineRule="auto" w:line="240" w:before="0" w:after="0"/>
              <w:ind w:left="1" w:hanging="0"/>
              <w:jc w:val="both"/>
              <w:rPr>
                <w:sz w:val="17"/>
              </w:rPr>
            </w:pPr>
            <w:r>
              <w:rPr>
                <w:sz w:val="17"/>
              </w:rPr>
              <w:t>Nářadí ihned po použití očistěte ředidlem SVALOS č. 222 nebo čistidlem na štětce LEVO č. 997.</w:t>
            </w:r>
          </w:p>
        </w:tc>
      </w:tr>
      <w:tr>
        <w:trPr/>
        <w:tc>
          <w:tcPr>
            <w:tcW w:w="1874" w:type="dxa"/>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r>
          </w:p>
        </w:tc>
        <w:tc>
          <w:tcPr>
            <w:tcW w:w="8095" w:type="dxa"/>
            <w:gridSpan w:val="5"/>
            <w:tcBorders>
              <w:top w:val="nil"/>
              <w:left w:val="nil"/>
              <w:bottom w:val="nil"/>
              <w:right w:val="nil"/>
              <w:insideH w:val="nil"/>
              <w:insideV w:val="nil"/>
            </w:tcBorders>
            <w:shd w:fill="auto" w:val="clear"/>
          </w:tcPr>
          <w:p>
            <w:pPr>
              <w:pStyle w:val="Normal"/>
              <w:spacing w:lineRule="auto" w:line="240" w:before="0" w:after="0"/>
              <w:ind w:left="1" w:hanging="0"/>
              <w:jc w:val="both"/>
              <w:rPr>
                <w:sz w:val="17"/>
              </w:rPr>
            </w:pPr>
            <w:r>
              <w:rPr>
                <w:sz w:val="17"/>
              </w:rPr>
            </w:r>
          </w:p>
        </w:tc>
      </w:tr>
      <w:tr>
        <w:trPr/>
        <w:tc>
          <w:tcPr>
            <w:tcW w:w="1874" w:type="dxa"/>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t>Měrná hmotnost</w:t>
            </w:r>
          </w:p>
        </w:tc>
        <w:tc>
          <w:tcPr>
            <w:tcW w:w="8095" w:type="dxa"/>
            <w:gridSpan w:val="5"/>
            <w:tcBorders>
              <w:top w:val="nil"/>
              <w:left w:val="nil"/>
              <w:bottom w:val="nil"/>
              <w:right w:val="nil"/>
              <w:insideH w:val="nil"/>
              <w:insideV w:val="nil"/>
            </w:tcBorders>
            <w:shd w:fill="auto" w:val="clear"/>
          </w:tcPr>
          <w:p>
            <w:pPr>
              <w:pStyle w:val="Normal"/>
              <w:spacing w:lineRule="auto" w:line="240" w:before="0" w:after="0"/>
              <w:ind w:left="1" w:hanging="0"/>
              <w:jc w:val="both"/>
              <w:rPr>
                <w:sz w:val="17"/>
              </w:rPr>
            </w:pPr>
            <w:r>
              <w:rPr>
                <w:sz w:val="17"/>
              </w:rPr>
              <w:t>ca. 0,90 g/ml podle odstínu.</w:t>
            </w:r>
          </w:p>
        </w:tc>
      </w:tr>
      <w:tr>
        <w:trPr/>
        <w:tc>
          <w:tcPr>
            <w:tcW w:w="1874" w:type="dxa"/>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r>
          </w:p>
        </w:tc>
        <w:tc>
          <w:tcPr>
            <w:tcW w:w="8095" w:type="dxa"/>
            <w:gridSpan w:val="5"/>
            <w:tcBorders>
              <w:top w:val="nil"/>
              <w:left w:val="nil"/>
              <w:bottom w:val="nil"/>
              <w:right w:val="nil"/>
              <w:insideH w:val="nil"/>
              <w:insideV w:val="nil"/>
            </w:tcBorders>
            <w:shd w:fill="auto" w:val="clear"/>
          </w:tcPr>
          <w:p>
            <w:pPr>
              <w:pStyle w:val="Normal"/>
              <w:spacing w:lineRule="auto" w:line="240" w:before="0" w:after="0"/>
              <w:ind w:left="1" w:hanging="0"/>
              <w:jc w:val="both"/>
              <w:rPr>
                <w:sz w:val="17"/>
              </w:rPr>
            </w:pPr>
            <w:r>
              <w:rPr>
                <w:sz w:val="17"/>
              </w:rPr>
            </w:r>
          </w:p>
        </w:tc>
      </w:tr>
      <w:tr>
        <w:trPr>
          <w:trHeight w:val="793" w:hRule="atLeast"/>
        </w:trPr>
        <w:tc>
          <w:tcPr>
            <w:tcW w:w="1874" w:type="dxa"/>
            <w:vMerge w:val="restart"/>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t>Bezpečnost</w:t>
            </w:r>
          </w:p>
        </w:tc>
        <w:tc>
          <w:tcPr>
            <w:tcW w:w="8095" w:type="dxa"/>
            <w:gridSpan w:val="5"/>
            <w:tcBorders>
              <w:top w:val="nil"/>
              <w:left w:val="nil"/>
              <w:bottom w:val="nil"/>
              <w:right w:val="nil"/>
              <w:insideH w:val="nil"/>
              <w:insideV w:val="nil"/>
            </w:tcBorders>
            <w:shd w:color="auto" w:fill="E7E6E6" w:themeFill="background2" w:val="clear"/>
          </w:tcPr>
          <w:p>
            <w:pPr>
              <w:pStyle w:val="Normal"/>
              <w:spacing w:lineRule="auto" w:line="240" w:before="0" w:after="0"/>
              <w:ind w:left="1" w:hanging="0"/>
              <w:jc w:val="both"/>
              <w:rPr/>
            </w:pPr>
            <w:r>
              <w:rPr>
                <w:sz w:val="17"/>
              </w:rPr>
              <w:t xml:space="preserve">Při a po práci zajistěte dobré větrání. Ještě vlhké pracovní materiály nasáklé </w:t>
            </w:r>
            <w:r>
              <w:rPr>
                <w:sz w:val="17"/>
              </w:rPr>
              <w:t>lazurou</w:t>
            </w:r>
            <w:r>
              <w:rPr>
                <w:sz w:val="17"/>
              </w:rPr>
              <w:t xml:space="preserve"> KALDET č. 281, jako např. hadry na čištění, lešticí kotouče, houby, brusné prášky atd., skladujte až do likvidace ve vzduchotěsné kovové nádobě nebo ve vodě, protože jinak hrozí nebezpečí samovznícení způsobeného obsahem rostlinného oleje. Kapalný a aplikovaný výrobek jako takový samovznětlivý není.</w:t>
            </w:r>
          </w:p>
        </w:tc>
      </w:tr>
      <w:tr>
        <w:trPr>
          <w:trHeight w:val="212" w:hRule="atLeast"/>
        </w:trPr>
        <w:tc>
          <w:tcPr>
            <w:tcW w:w="1874" w:type="dxa"/>
            <w:vMerge w:val="continue"/>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r>
          </w:p>
        </w:tc>
        <w:tc>
          <w:tcPr>
            <w:tcW w:w="1245" w:type="dxa"/>
            <w:tcBorders>
              <w:top w:val="nil"/>
              <w:left w:val="nil"/>
              <w:bottom w:val="nil"/>
              <w:right w:val="nil"/>
              <w:insideH w:val="nil"/>
              <w:insideV w:val="nil"/>
            </w:tcBorders>
            <w:shd w:fill="auto" w:val="clear"/>
          </w:tcPr>
          <w:p>
            <w:pPr>
              <w:pStyle w:val="Normal"/>
              <w:spacing w:lineRule="auto" w:line="240" w:before="0" w:after="0"/>
              <w:rPr>
                <w:sz w:val="17"/>
              </w:rPr>
            </w:pPr>
            <w:r>
              <w:rPr>
                <w:sz w:val="17"/>
              </w:rPr>
              <w:t>P102</w:t>
            </w:r>
          </w:p>
        </w:tc>
        <w:tc>
          <w:tcPr>
            <w:tcW w:w="6850" w:type="dxa"/>
            <w:gridSpan w:val="4"/>
            <w:tcBorders>
              <w:top w:val="nil"/>
              <w:left w:val="nil"/>
              <w:bottom w:val="nil"/>
              <w:right w:val="nil"/>
              <w:insideH w:val="nil"/>
              <w:insideV w:val="nil"/>
            </w:tcBorders>
            <w:shd w:fill="auto" w:val="clear"/>
          </w:tcPr>
          <w:p>
            <w:pPr>
              <w:pStyle w:val="Normal"/>
              <w:spacing w:lineRule="auto" w:line="240" w:before="0" w:after="0"/>
              <w:rPr>
                <w:sz w:val="17"/>
              </w:rPr>
            </w:pPr>
            <w:r>
              <w:rPr>
                <w:sz w:val="17"/>
              </w:rPr>
              <w:t>Nesmí se dostat do rukou dětem.</w:t>
            </w:r>
          </w:p>
        </w:tc>
      </w:tr>
      <w:tr>
        <w:trPr>
          <w:trHeight w:val="232" w:hRule="atLeast"/>
        </w:trPr>
        <w:tc>
          <w:tcPr>
            <w:tcW w:w="1874" w:type="dxa"/>
            <w:vMerge w:val="continue"/>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r>
          </w:p>
        </w:tc>
        <w:tc>
          <w:tcPr>
            <w:tcW w:w="1245" w:type="dxa"/>
            <w:tcBorders>
              <w:top w:val="nil"/>
              <w:left w:val="nil"/>
              <w:bottom w:val="nil"/>
              <w:right w:val="nil"/>
              <w:insideH w:val="nil"/>
              <w:insideV w:val="nil"/>
            </w:tcBorders>
            <w:shd w:fill="auto" w:val="clear"/>
          </w:tcPr>
          <w:p>
            <w:pPr>
              <w:pStyle w:val="Normal"/>
              <w:spacing w:lineRule="auto" w:line="240" w:before="0" w:after="0"/>
              <w:rPr>
                <w:sz w:val="17"/>
              </w:rPr>
            </w:pPr>
            <w:r>
              <w:rPr>
                <w:sz w:val="17"/>
              </w:rPr>
              <w:t>P301+P310</w:t>
            </w:r>
          </w:p>
        </w:tc>
        <w:tc>
          <w:tcPr>
            <w:tcW w:w="6850" w:type="dxa"/>
            <w:gridSpan w:val="4"/>
            <w:tcBorders>
              <w:top w:val="nil"/>
              <w:left w:val="nil"/>
              <w:bottom w:val="nil"/>
              <w:right w:val="nil"/>
              <w:insideH w:val="nil"/>
              <w:insideV w:val="nil"/>
            </w:tcBorders>
            <w:shd w:fill="auto" w:val="clear"/>
          </w:tcPr>
          <w:p>
            <w:pPr>
              <w:pStyle w:val="Normal"/>
              <w:spacing w:lineRule="auto" w:line="240" w:before="0" w:after="0"/>
              <w:rPr>
                <w:sz w:val="17"/>
              </w:rPr>
            </w:pPr>
            <w:r>
              <w:rPr>
                <w:sz w:val="17"/>
              </w:rPr>
              <w:t>PŘI SPOLKNUTÍ: vypláchněte ústa. NEVYVOLÁVEJTE zvracení. Přivolejte ihned lékaře.</w:t>
            </w:r>
          </w:p>
        </w:tc>
      </w:tr>
      <w:tr>
        <w:trPr/>
        <w:tc>
          <w:tcPr>
            <w:tcW w:w="1874" w:type="dxa"/>
            <w:vMerge w:val="continue"/>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r>
          </w:p>
        </w:tc>
        <w:tc>
          <w:tcPr>
            <w:tcW w:w="1245" w:type="dxa"/>
            <w:tcBorders>
              <w:top w:val="nil"/>
              <w:left w:val="nil"/>
              <w:bottom w:val="nil"/>
              <w:right w:val="nil"/>
              <w:insideH w:val="nil"/>
              <w:insideV w:val="nil"/>
            </w:tcBorders>
            <w:shd w:fill="auto" w:val="clear"/>
          </w:tcPr>
          <w:p>
            <w:pPr>
              <w:pStyle w:val="Normal"/>
              <w:spacing w:lineRule="auto" w:line="240" w:before="0" w:after="0"/>
              <w:rPr>
                <w:sz w:val="17"/>
              </w:rPr>
            </w:pPr>
            <w:r>
              <w:rPr>
                <w:sz w:val="17"/>
              </w:rPr>
              <w:t>EUH066</w:t>
            </w:r>
          </w:p>
        </w:tc>
        <w:tc>
          <w:tcPr>
            <w:tcW w:w="6850" w:type="dxa"/>
            <w:gridSpan w:val="4"/>
            <w:tcBorders>
              <w:top w:val="nil"/>
              <w:left w:val="nil"/>
              <w:bottom w:val="nil"/>
              <w:right w:val="nil"/>
              <w:insideH w:val="nil"/>
              <w:insideV w:val="nil"/>
            </w:tcBorders>
            <w:shd w:fill="auto" w:val="clear"/>
          </w:tcPr>
          <w:p>
            <w:pPr>
              <w:pStyle w:val="Normal"/>
              <w:spacing w:lineRule="auto" w:line="240" w:before="0" w:after="0"/>
              <w:rPr>
                <w:sz w:val="17"/>
              </w:rPr>
            </w:pPr>
            <w:r>
              <w:rPr>
                <w:sz w:val="17"/>
              </w:rPr>
              <w:t>Opakovaná expozice může způsobit vysušení nebo popraskání kůže.</w:t>
            </w:r>
          </w:p>
        </w:tc>
      </w:tr>
      <w:tr>
        <w:trPr>
          <w:trHeight w:val="194" w:hRule="atLeast"/>
        </w:trPr>
        <w:tc>
          <w:tcPr>
            <w:tcW w:w="1874" w:type="dxa"/>
            <w:vMerge w:val="continue"/>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r>
          </w:p>
        </w:tc>
        <w:tc>
          <w:tcPr>
            <w:tcW w:w="1245" w:type="dxa"/>
            <w:tcBorders>
              <w:top w:val="nil"/>
              <w:left w:val="nil"/>
              <w:bottom w:val="nil"/>
              <w:right w:val="nil"/>
              <w:insideH w:val="nil"/>
              <w:insideV w:val="nil"/>
            </w:tcBorders>
            <w:shd w:fill="auto" w:val="clear"/>
          </w:tcPr>
          <w:p>
            <w:pPr>
              <w:pStyle w:val="Normal"/>
              <w:spacing w:lineRule="auto" w:line="240" w:before="0" w:after="0"/>
              <w:rPr>
                <w:sz w:val="17"/>
              </w:rPr>
            </w:pPr>
            <w:r>
              <w:rPr>
                <w:sz w:val="17"/>
              </w:rPr>
              <w:t>EUH208</w:t>
            </w:r>
          </w:p>
        </w:tc>
        <w:tc>
          <w:tcPr>
            <w:tcW w:w="6850" w:type="dxa"/>
            <w:gridSpan w:val="4"/>
            <w:tcBorders>
              <w:top w:val="nil"/>
              <w:left w:val="nil"/>
              <w:bottom w:val="nil"/>
              <w:right w:val="nil"/>
              <w:insideH w:val="nil"/>
              <w:insideV w:val="nil"/>
            </w:tcBorders>
            <w:shd w:fill="auto" w:val="clear"/>
          </w:tcPr>
          <w:p>
            <w:pPr>
              <w:pStyle w:val="Normal"/>
              <w:spacing w:lineRule="auto" w:line="240" w:before="0" w:after="0"/>
              <w:rPr>
                <w:sz w:val="17"/>
              </w:rPr>
            </w:pPr>
            <w:r>
              <w:rPr>
                <w:sz w:val="17"/>
              </w:rPr>
              <w:t>Obsahuje soli kobaltu (2+). Může vyvolat alergické reakce.</w:t>
            </w:r>
          </w:p>
        </w:tc>
      </w:tr>
      <w:tr>
        <w:trPr>
          <w:trHeight w:val="194" w:hRule="atLeast"/>
        </w:trPr>
        <w:tc>
          <w:tcPr>
            <w:tcW w:w="1874" w:type="dxa"/>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r>
          </w:p>
        </w:tc>
        <w:tc>
          <w:tcPr>
            <w:tcW w:w="8095" w:type="dxa"/>
            <w:gridSpan w:val="5"/>
            <w:tcBorders>
              <w:top w:val="nil"/>
              <w:left w:val="nil"/>
              <w:bottom w:val="nil"/>
              <w:right w:val="nil"/>
              <w:insideH w:val="nil"/>
              <w:insideV w:val="nil"/>
            </w:tcBorders>
            <w:shd w:fill="auto" w:val="clear"/>
          </w:tcPr>
          <w:p>
            <w:pPr>
              <w:pStyle w:val="Normal"/>
              <w:spacing w:lineRule="auto" w:line="240" w:before="0" w:after="0"/>
              <w:rPr>
                <w:sz w:val="17"/>
              </w:rPr>
            </w:pPr>
            <w:r>
              <w:rPr>
                <w:sz w:val="17"/>
              </w:rPr>
              <w:t>Horká linka pro alergiky: 05825 / 8871</w:t>
            </w:r>
          </w:p>
        </w:tc>
      </w:tr>
      <w:tr>
        <w:trPr>
          <w:trHeight w:val="194" w:hRule="atLeast"/>
        </w:trPr>
        <w:tc>
          <w:tcPr>
            <w:tcW w:w="1874" w:type="dxa"/>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r>
          </w:p>
        </w:tc>
        <w:tc>
          <w:tcPr>
            <w:tcW w:w="8095" w:type="dxa"/>
            <w:gridSpan w:val="5"/>
            <w:tcBorders>
              <w:top w:val="nil"/>
              <w:left w:val="nil"/>
              <w:bottom w:val="nil"/>
              <w:right w:val="nil"/>
              <w:insideH w:val="nil"/>
              <w:insideV w:val="nil"/>
            </w:tcBorders>
            <w:shd w:fill="auto" w:val="clear"/>
          </w:tcPr>
          <w:p>
            <w:pPr>
              <w:pStyle w:val="Normal"/>
              <w:spacing w:lineRule="auto" w:line="240" w:before="0" w:after="0"/>
              <w:rPr>
                <w:sz w:val="17"/>
              </w:rPr>
            </w:pPr>
            <w:r>
              <w:rPr>
                <w:sz w:val="17"/>
              </w:rPr>
            </w:r>
          </w:p>
        </w:tc>
      </w:tr>
      <w:tr>
        <w:trPr>
          <w:trHeight w:val="194" w:hRule="atLeast"/>
        </w:trPr>
        <w:tc>
          <w:tcPr>
            <w:tcW w:w="1874" w:type="dxa"/>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t>Nakládání s odpadem</w:t>
            </w:r>
          </w:p>
        </w:tc>
        <w:tc>
          <w:tcPr>
            <w:tcW w:w="8095" w:type="dxa"/>
            <w:gridSpan w:val="5"/>
            <w:tcBorders>
              <w:top w:val="nil"/>
              <w:left w:val="nil"/>
              <w:bottom w:val="nil"/>
              <w:right w:val="nil"/>
              <w:insideH w:val="nil"/>
              <w:insideV w:val="nil"/>
            </w:tcBorders>
            <w:shd w:fill="auto" w:val="clear"/>
          </w:tcPr>
          <w:p>
            <w:pPr>
              <w:pStyle w:val="Normal"/>
              <w:spacing w:lineRule="auto" w:line="240" w:before="0" w:after="0"/>
              <w:ind w:left="1" w:hanging="0"/>
              <w:jc w:val="both"/>
              <w:rPr>
                <w:sz w:val="17"/>
              </w:rPr>
            </w:pPr>
            <w:r>
              <w:rPr>
                <w:sz w:val="17"/>
              </w:rPr>
              <w:t>Podle právních předpisů platných v daném místě. Zaschlé zbytky výrobku lze likvidovat jako komunální odpad.</w:t>
            </w:r>
          </w:p>
        </w:tc>
      </w:tr>
      <w:tr>
        <w:trPr/>
        <w:tc>
          <w:tcPr>
            <w:tcW w:w="1874" w:type="dxa"/>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r>
          </w:p>
        </w:tc>
        <w:tc>
          <w:tcPr>
            <w:tcW w:w="1245" w:type="dxa"/>
            <w:tcBorders>
              <w:top w:val="nil"/>
              <w:left w:val="nil"/>
              <w:bottom w:val="nil"/>
              <w:right w:val="nil"/>
              <w:insideH w:val="nil"/>
              <w:insideV w:val="nil"/>
            </w:tcBorders>
            <w:shd w:fill="auto" w:val="clear"/>
          </w:tcPr>
          <w:p>
            <w:pPr>
              <w:pStyle w:val="Normal"/>
              <w:spacing w:lineRule="auto" w:line="240" w:before="0" w:after="0"/>
              <w:ind w:left="1" w:hanging="0"/>
              <w:jc w:val="both"/>
              <w:rPr>
                <w:sz w:val="17"/>
              </w:rPr>
            </w:pPr>
            <w:r>
              <w:rPr>
                <w:sz w:val="17"/>
              </w:rPr>
            </w:r>
          </w:p>
        </w:tc>
        <w:tc>
          <w:tcPr>
            <w:tcW w:w="6850" w:type="dxa"/>
            <w:gridSpan w:val="4"/>
            <w:tcBorders>
              <w:top w:val="nil"/>
              <w:left w:val="nil"/>
              <w:bottom w:val="nil"/>
              <w:right w:val="nil"/>
              <w:insideH w:val="nil"/>
              <w:insideV w:val="nil"/>
            </w:tcBorders>
            <w:shd w:fill="auto" w:val="clear"/>
          </w:tcPr>
          <w:p>
            <w:pPr>
              <w:pStyle w:val="Normal"/>
              <w:spacing w:lineRule="auto" w:line="240" w:before="0" w:after="0"/>
              <w:rPr>
                <w:sz w:val="17"/>
              </w:rPr>
            </w:pPr>
            <w:r>
              <w:rPr>
                <w:sz w:val="17"/>
              </w:rPr>
            </w:r>
          </w:p>
        </w:tc>
      </w:tr>
      <w:tr>
        <w:trPr/>
        <w:tc>
          <w:tcPr>
            <w:tcW w:w="1874" w:type="dxa"/>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t>Balení</w:t>
            </w:r>
          </w:p>
        </w:tc>
        <w:tc>
          <w:tcPr>
            <w:tcW w:w="8095" w:type="dxa"/>
            <w:gridSpan w:val="5"/>
            <w:tcBorders>
              <w:top w:val="nil"/>
              <w:left w:val="nil"/>
              <w:bottom w:val="nil"/>
              <w:right w:val="nil"/>
              <w:insideH w:val="nil"/>
              <w:insideV w:val="nil"/>
            </w:tcBorders>
            <w:shd w:fill="auto" w:val="clear"/>
          </w:tcPr>
          <w:p>
            <w:pPr>
              <w:pStyle w:val="Normal"/>
              <w:spacing w:lineRule="auto" w:line="240" w:before="0" w:after="0"/>
              <w:ind w:left="1" w:hanging="0"/>
              <w:jc w:val="both"/>
              <w:rPr>
                <w:sz w:val="17"/>
              </w:rPr>
            </w:pPr>
            <w:r>
              <w:rPr>
                <w:sz w:val="17"/>
              </w:rPr>
              <w:t>0,375 l; 0,75 l; 2,5 l; 10 l; 30 l.</w:t>
            </w:r>
          </w:p>
        </w:tc>
      </w:tr>
      <w:tr>
        <w:trPr/>
        <w:tc>
          <w:tcPr>
            <w:tcW w:w="1874" w:type="dxa"/>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r>
          </w:p>
        </w:tc>
        <w:tc>
          <w:tcPr>
            <w:tcW w:w="8095" w:type="dxa"/>
            <w:gridSpan w:val="5"/>
            <w:tcBorders>
              <w:top w:val="nil"/>
              <w:left w:val="nil"/>
              <w:bottom w:val="nil"/>
              <w:right w:val="nil"/>
              <w:insideH w:val="nil"/>
              <w:insideV w:val="nil"/>
            </w:tcBorders>
            <w:shd w:fill="auto" w:val="clear"/>
          </w:tcPr>
          <w:p>
            <w:pPr>
              <w:pStyle w:val="Normal"/>
              <w:spacing w:lineRule="auto" w:line="240" w:before="0" w:after="0"/>
              <w:ind w:left="1" w:hanging="0"/>
              <w:jc w:val="both"/>
              <w:rPr>
                <w:sz w:val="17"/>
              </w:rPr>
            </w:pPr>
            <w:r>
              <w:rPr>
                <w:sz w:val="17"/>
              </w:rPr>
            </w:r>
          </w:p>
        </w:tc>
      </w:tr>
      <w:tr>
        <w:trPr/>
        <w:tc>
          <w:tcPr>
            <w:tcW w:w="1874" w:type="dxa"/>
            <w:tcBorders>
              <w:top w:val="nil"/>
              <w:left w:val="nil"/>
              <w:bottom w:val="nil"/>
              <w:right w:val="nil"/>
              <w:insideH w:val="nil"/>
              <w:insideV w:val="nil"/>
            </w:tcBorders>
            <w:shd w:fill="auto" w:val="clear"/>
          </w:tcPr>
          <w:p>
            <w:pPr>
              <w:pStyle w:val="Normal"/>
              <w:spacing w:lineRule="auto" w:line="240" w:before="0" w:after="0"/>
              <w:rPr>
                <w:b/>
                <w:b/>
                <w:sz w:val="17"/>
              </w:rPr>
            </w:pPr>
            <w:r>
              <w:rPr>
                <w:b/>
                <w:sz w:val="17"/>
              </w:rPr>
              <w:t>Skladování</w:t>
            </w:r>
          </w:p>
        </w:tc>
        <w:tc>
          <w:tcPr>
            <w:tcW w:w="8095" w:type="dxa"/>
            <w:gridSpan w:val="5"/>
            <w:tcBorders>
              <w:top w:val="nil"/>
              <w:left w:val="nil"/>
              <w:bottom w:val="nil"/>
              <w:right w:val="nil"/>
              <w:insideH w:val="nil"/>
              <w:insideV w:val="nil"/>
            </w:tcBorders>
            <w:shd w:fill="auto" w:val="clear"/>
          </w:tcPr>
          <w:p>
            <w:pPr>
              <w:pStyle w:val="Normal"/>
              <w:spacing w:lineRule="auto" w:line="240" w:before="0" w:after="0"/>
              <w:ind w:left="1" w:hanging="0"/>
              <w:jc w:val="both"/>
              <w:rPr>
                <w:sz w:val="17"/>
              </w:rPr>
            </w:pPr>
            <w:r>
              <w:rPr>
                <w:sz w:val="17"/>
              </w:rPr>
              <w:t>V chladnu a suchu. Minimální trvanlivost neotevřeného výrobku je 4 roky. Otevřené výrobky reagují s kyslíkem, což může časem vést ke tvorbě škraloupu a žluklému zápachu. Zbytky přelejte do menších nádob.</w:t>
            </w:r>
          </w:p>
        </w:tc>
      </w:tr>
    </w:tbl>
    <w:p>
      <w:pPr>
        <w:pStyle w:val="Normal"/>
        <w:rPr/>
      </w:pPr>
      <w:r>
        <w:rPr/>
      </w:r>
      <w:r>
        <w:br w:type="page"/>
      </w:r>
    </w:p>
    <w:p>
      <w:pPr>
        <w:pStyle w:val="Normal"/>
        <w:spacing w:lineRule="auto" w:line="240" w:before="0" w:after="0"/>
        <w:ind w:right="5" w:hanging="0"/>
        <w:rPr>
          <w:sz w:val="28"/>
        </w:rPr>
      </w:pPr>
      <w:r>
        <w:rPr>
          <w:sz w:val="28"/>
        </w:rPr>
        <w:t>Pokyny k aplikaci</w:t>
      </w:r>
    </w:p>
    <w:p>
      <w:pPr>
        <w:pStyle w:val="Normal"/>
        <w:spacing w:lineRule="auto" w:line="240" w:before="0" w:after="0"/>
        <w:ind w:right="5" w:hanging="0"/>
        <w:rPr/>
      </w:pPr>
      <w:r>
        <w:rPr>
          <w:b/>
          <w:sz w:val="44"/>
          <w:szCs w:val="44"/>
        </w:rPr>
        <w:t>Lazura</w:t>
      </w:r>
      <w:r>
        <w:rPr>
          <w:b/>
          <w:sz w:val="44"/>
          <w:szCs w:val="44"/>
        </w:rPr>
        <w:t xml:space="preserve"> do </w:t>
      </w:r>
      <w:r>
        <w:rPr>
          <w:b/>
          <w:sz w:val="44"/>
          <w:szCs w:val="44"/>
        </w:rPr>
        <w:t>exteriéru</w:t>
      </w:r>
      <w:r>
        <w:rPr>
          <w:b/>
          <w:sz w:val="44"/>
          <w:szCs w:val="44"/>
        </w:rPr>
        <w:t xml:space="preserve"> KALDET č. 281</w:t>
      </w:r>
    </w:p>
    <w:tbl>
      <w:tblPr>
        <w:tblStyle w:val="TableGrid"/>
        <w:tblW w:w="10016" w:type="dxa"/>
        <w:jc w:val="left"/>
        <w:tblInd w:w="0" w:type="dxa"/>
        <w:tblBorders/>
        <w:tblCellMar>
          <w:top w:w="0" w:type="dxa"/>
          <w:left w:w="108" w:type="dxa"/>
          <w:bottom w:w="0" w:type="dxa"/>
          <w:right w:w="108" w:type="dxa"/>
        </w:tblCellMar>
        <w:tblLook w:firstRow="1" w:noVBand="1" w:lastRow="0" w:firstColumn="1" w:lastColumn="0" w:noHBand="0" w:val="04a0"/>
      </w:tblPr>
      <w:tblGrid>
        <w:gridCol w:w="1883"/>
        <w:gridCol w:w="241"/>
        <w:gridCol w:w="7891"/>
      </w:tblGrid>
      <w:tr>
        <w:trPr/>
        <w:tc>
          <w:tcPr>
            <w:tcW w:w="1883" w:type="dxa"/>
            <w:tcBorders/>
            <w:shd w:fill="auto" w:val="clear"/>
          </w:tcPr>
          <w:p>
            <w:pPr>
              <w:pStyle w:val="Normal"/>
              <w:spacing w:lineRule="auto" w:line="240" w:before="0" w:after="0"/>
              <w:rPr>
                <w:b/>
                <w:b/>
                <w:sz w:val="17"/>
              </w:rPr>
            </w:pPr>
            <w:r>
              <w:rPr>
                <w:b/>
                <w:sz w:val="17"/>
              </w:rPr>
              <w:t>Příprava</w:t>
            </w:r>
          </w:p>
        </w:tc>
        <w:tc>
          <w:tcPr>
            <w:tcW w:w="8132" w:type="dxa"/>
            <w:gridSpan w:val="2"/>
            <w:tcBorders/>
            <w:shd w:fill="auto" w:val="clear"/>
          </w:tcPr>
          <w:p>
            <w:pPr>
              <w:pStyle w:val="Normal"/>
              <w:spacing w:lineRule="auto" w:line="240" w:before="0" w:after="0"/>
              <w:ind w:left="1" w:hanging="0"/>
              <w:jc w:val="both"/>
              <w:rPr>
                <w:sz w:val="17"/>
              </w:rPr>
            </w:pPr>
            <w:r>
              <w:rPr>
                <w:sz w:val="17"/>
              </w:rPr>
              <w:t>Podklad musí být suchý (objem vlhkosti ve dřevě nižší než 15 %), masivní, jemně zbroušený (papírem o zrnitosti 180), nasákavý, zbavený prachu a pryskyřice. U oken a jiného rozměrově stálého dřeva nesmí být objem vlhkosti ve dřevě v případě jehličnatého dřeva a tropického listnatého dřeva vyšší než 15 %, v případě domácího listnatého dřeva nesmí být vyšší než 12 %. Podle nasákavosti dřeva naneste silnou až slabou podkladovou vrstvu vnější penetrace ADAO č. 259 nebo penetrace pro dub LINUS č. 233. Po 20 minutách odstraňte přebytečný olej. Mezi nátěry je nutné dřevo přebrousit.</w:t>
            </w:r>
          </w:p>
        </w:tc>
      </w:tr>
      <w:tr>
        <w:trPr/>
        <w:tc>
          <w:tcPr>
            <w:tcW w:w="1883" w:type="dxa"/>
            <w:tcBorders/>
            <w:shd w:fill="auto" w:val="clear"/>
          </w:tcPr>
          <w:p>
            <w:pPr>
              <w:pStyle w:val="Normal"/>
              <w:spacing w:lineRule="auto" w:line="240" w:before="0" w:after="0"/>
              <w:rPr>
                <w:b/>
                <w:b/>
                <w:sz w:val="17"/>
              </w:rPr>
            </w:pPr>
            <w:r>
              <w:rPr>
                <w:b/>
                <w:sz w:val="17"/>
              </w:rPr>
            </w:r>
          </w:p>
        </w:tc>
        <w:tc>
          <w:tcPr>
            <w:tcW w:w="8132" w:type="dxa"/>
            <w:gridSpan w:val="2"/>
            <w:tcBorders/>
            <w:shd w:fill="auto" w:val="clear"/>
          </w:tcPr>
          <w:p>
            <w:pPr>
              <w:pStyle w:val="Normal"/>
              <w:spacing w:lineRule="auto" w:line="240" w:before="0" w:after="0"/>
              <w:ind w:left="1" w:hanging="0"/>
              <w:jc w:val="both"/>
              <w:rPr>
                <w:sz w:val="17"/>
              </w:rPr>
            </w:pPr>
            <w:r>
              <w:rPr>
                <w:sz w:val="17"/>
              </w:rPr>
            </w:r>
          </w:p>
        </w:tc>
      </w:tr>
      <w:tr>
        <w:trPr/>
        <w:tc>
          <w:tcPr>
            <w:tcW w:w="1883" w:type="dxa"/>
            <w:tcBorders/>
            <w:shd w:fill="auto" w:val="clear"/>
          </w:tcPr>
          <w:p>
            <w:pPr>
              <w:pStyle w:val="Normal"/>
              <w:spacing w:lineRule="auto" w:line="240" w:before="0" w:after="0"/>
              <w:rPr>
                <w:b/>
                <w:b/>
                <w:sz w:val="17"/>
              </w:rPr>
            </w:pPr>
            <w:r>
              <w:rPr>
                <w:b/>
                <w:sz w:val="17"/>
              </w:rPr>
              <w:t>Aplikace</w:t>
            </w:r>
          </w:p>
        </w:tc>
        <w:tc>
          <w:tcPr>
            <w:tcW w:w="8132" w:type="dxa"/>
            <w:gridSpan w:val="2"/>
            <w:tcBorders/>
            <w:shd w:fill="auto" w:val="clear"/>
          </w:tcPr>
          <w:p>
            <w:pPr>
              <w:pStyle w:val="Normal"/>
              <w:spacing w:lineRule="auto" w:line="240" w:before="0" w:after="0"/>
              <w:ind w:left="3" w:hanging="0"/>
              <w:jc w:val="both"/>
              <w:rPr/>
            </w:pPr>
            <w:r>
              <w:rPr>
                <w:sz w:val="17"/>
              </w:rPr>
              <w:t xml:space="preserve">Dobře promíchejte. Škraloup, který se případně vytvoří v narušených nádobách, před aplikací odstraňte. Proveďte zkušební nátěr! Tři nátěry </w:t>
            </w:r>
            <w:r>
              <w:rPr>
                <w:sz w:val="17"/>
              </w:rPr>
              <w:t>lazurou</w:t>
            </w:r>
            <w:r>
              <w:rPr>
                <w:sz w:val="17"/>
              </w:rPr>
              <w:t xml:space="preserve"> do všech klimatických podmínek KALDET č. 281 aplikujte během 4 týdnů. Druhý nátěr by měl již na dřevě vytvořit viditelnou ochrannou vrstvu. Příliš silný nátěr se projeví tím, že </w:t>
            </w:r>
            <w:r>
              <w:rPr>
                <w:sz w:val="17"/>
              </w:rPr>
              <w:t>lazura</w:t>
            </w:r>
            <w:r>
              <w:rPr>
                <w:sz w:val="17"/>
              </w:rPr>
              <w:t xml:space="preserve"> stéká po povrchu; taková místa se musí ihned rozetřít a popř. utřít. Po 10-30 minutách uhlaďte nátěr štětcem ve směru textury dřeva.</w:t>
            </w:r>
          </w:p>
          <w:p>
            <w:pPr>
              <w:pStyle w:val="Normal"/>
              <w:spacing w:lineRule="auto" w:line="240" w:before="0" w:after="0"/>
              <w:ind w:left="3" w:hanging="0"/>
              <w:jc w:val="both"/>
              <w:rPr>
                <w:sz w:val="17"/>
              </w:rPr>
            </w:pPr>
            <w:r>
              <w:rPr>
                <w:sz w:val="17"/>
              </w:rPr>
              <w:t>Na zahradní nábytek aplikujte 2 slabé nátěry.</w:t>
            </w:r>
          </w:p>
        </w:tc>
      </w:tr>
      <w:tr>
        <w:trPr/>
        <w:tc>
          <w:tcPr>
            <w:tcW w:w="1883" w:type="dxa"/>
            <w:tcBorders/>
            <w:shd w:fill="auto" w:val="clear"/>
          </w:tcPr>
          <w:p>
            <w:pPr>
              <w:pStyle w:val="Normal"/>
              <w:spacing w:lineRule="auto" w:line="240" w:before="0" w:after="0"/>
              <w:rPr>
                <w:b/>
                <w:b/>
                <w:sz w:val="17"/>
              </w:rPr>
            </w:pPr>
            <w:r>
              <w:rPr>
                <w:b/>
                <w:sz w:val="17"/>
              </w:rPr>
            </w:r>
          </w:p>
        </w:tc>
        <w:tc>
          <w:tcPr>
            <w:tcW w:w="8132" w:type="dxa"/>
            <w:gridSpan w:val="2"/>
            <w:tcBorders/>
            <w:shd w:fill="auto" w:val="clear"/>
          </w:tcPr>
          <w:p>
            <w:pPr>
              <w:pStyle w:val="Normal"/>
              <w:spacing w:lineRule="auto" w:line="240" w:before="0" w:after="0"/>
              <w:ind w:left="3" w:hanging="0"/>
              <w:jc w:val="both"/>
              <w:rPr>
                <w:sz w:val="17"/>
              </w:rPr>
            </w:pPr>
            <w:r>
              <w:rPr>
                <w:sz w:val="17"/>
              </w:rPr>
            </w:r>
          </w:p>
        </w:tc>
      </w:tr>
      <w:tr>
        <w:trPr/>
        <w:tc>
          <w:tcPr>
            <w:tcW w:w="1883" w:type="dxa"/>
            <w:tcBorders/>
            <w:shd w:fill="auto" w:val="clear"/>
          </w:tcPr>
          <w:p>
            <w:pPr>
              <w:pStyle w:val="Normal"/>
              <w:spacing w:lineRule="auto" w:line="240" w:before="0" w:after="0"/>
              <w:rPr>
                <w:b/>
                <w:b/>
                <w:sz w:val="17"/>
              </w:rPr>
            </w:pPr>
            <w:r>
              <w:rPr>
                <w:b/>
                <w:sz w:val="17"/>
              </w:rPr>
              <w:t>Renovace povrchů s otevřenými póry</w:t>
            </w:r>
          </w:p>
        </w:tc>
        <w:tc>
          <w:tcPr>
            <w:tcW w:w="8132" w:type="dxa"/>
            <w:gridSpan w:val="2"/>
            <w:tcBorders/>
            <w:shd w:fill="auto" w:val="clear"/>
          </w:tcPr>
          <w:p>
            <w:pPr>
              <w:pStyle w:val="Normal"/>
              <w:spacing w:lineRule="auto" w:line="240" w:before="0" w:after="0"/>
              <w:ind w:left="3" w:hanging="0"/>
              <w:jc w:val="both"/>
              <w:rPr>
                <w:sz w:val="17"/>
              </w:rPr>
            </w:pPr>
            <w:r>
              <w:rPr>
                <w:sz w:val="17"/>
              </w:rPr>
              <w:t>Staré nátěry je nutné odstranit a přebrousit.</w:t>
            </w:r>
          </w:p>
          <w:p>
            <w:pPr>
              <w:pStyle w:val="Normal"/>
              <w:spacing w:lineRule="auto" w:line="240" w:before="0" w:after="0"/>
              <w:ind w:left="3" w:hanging="0"/>
              <w:jc w:val="both"/>
              <w:rPr>
                <w:sz w:val="17"/>
              </w:rPr>
            </w:pPr>
            <w:r>
              <w:rPr>
                <w:sz w:val="17"/>
              </w:rPr>
              <w:t>Struktura nátěrů stejná jako při prvním ošetření, při včasné renovaci je potřeba pouze mezinátěr a/nebo finální nátěr, v opačném případě se musí postupovat znovu od začátku.</w:t>
            </w:r>
          </w:p>
          <w:p>
            <w:pPr>
              <w:pStyle w:val="Normal"/>
              <w:spacing w:lineRule="auto" w:line="240" w:before="0" w:after="0"/>
              <w:ind w:left="3" w:hanging="0"/>
              <w:jc w:val="both"/>
              <w:rPr>
                <w:sz w:val="17"/>
              </w:rPr>
            </w:pPr>
            <w:r>
              <w:rPr>
                <w:sz w:val="17"/>
              </w:rPr>
              <w:t>Podle klimatických podmínek, typu dřeva a zvoleného odstínu, různé časové odstupy při následném ošetření. Části přicházející do styku s vodou, jako např. okapní lišty vyžadují následné ošetření pravidelně.</w:t>
            </w:r>
          </w:p>
        </w:tc>
      </w:tr>
      <w:tr>
        <w:trPr/>
        <w:tc>
          <w:tcPr>
            <w:tcW w:w="1883" w:type="dxa"/>
            <w:tcBorders/>
            <w:shd w:fill="auto" w:val="clear"/>
          </w:tcPr>
          <w:p>
            <w:pPr>
              <w:pStyle w:val="Normal"/>
              <w:spacing w:lineRule="auto" w:line="240" w:before="0" w:after="0"/>
              <w:rPr>
                <w:b/>
                <w:b/>
                <w:sz w:val="17"/>
              </w:rPr>
            </w:pPr>
            <w:r>
              <w:rPr>
                <w:b/>
                <w:sz w:val="17"/>
              </w:rPr>
            </w:r>
          </w:p>
        </w:tc>
        <w:tc>
          <w:tcPr>
            <w:tcW w:w="8132" w:type="dxa"/>
            <w:gridSpan w:val="2"/>
            <w:tcBorders/>
            <w:shd w:fill="auto" w:val="clear"/>
          </w:tcPr>
          <w:p>
            <w:pPr>
              <w:pStyle w:val="Normal"/>
              <w:spacing w:lineRule="auto" w:line="240" w:before="0" w:after="0"/>
              <w:ind w:left="3" w:hanging="0"/>
              <w:jc w:val="both"/>
              <w:rPr>
                <w:sz w:val="17"/>
              </w:rPr>
            </w:pPr>
            <w:r>
              <w:rPr>
                <w:sz w:val="17"/>
              </w:rPr>
            </w:r>
          </w:p>
        </w:tc>
      </w:tr>
      <w:tr>
        <w:trPr/>
        <w:tc>
          <w:tcPr>
            <w:tcW w:w="1883" w:type="dxa"/>
            <w:tcBorders/>
            <w:shd w:fill="auto" w:val="clear"/>
          </w:tcPr>
          <w:p>
            <w:pPr>
              <w:pStyle w:val="Normal"/>
              <w:spacing w:lineRule="auto" w:line="240" w:before="0" w:after="0"/>
              <w:rPr>
                <w:b/>
                <w:b/>
                <w:sz w:val="17"/>
              </w:rPr>
            </w:pPr>
            <w:r>
              <w:rPr>
                <w:b/>
                <w:sz w:val="17"/>
              </w:rPr>
              <w:t>Renovace povrchů s uzavřenými póry</w:t>
            </w:r>
          </w:p>
        </w:tc>
        <w:tc>
          <w:tcPr>
            <w:tcW w:w="8132" w:type="dxa"/>
            <w:gridSpan w:val="2"/>
            <w:tcBorders/>
            <w:shd w:fill="auto" w:val="clear"/>
          </w:tcPr>
          <w:p>
            <w:pPr>
              <w:pStyle w:val="Normal"/>
              <w:spacing w:lineRule="auto" w:line="240" w:before="0" w:after="0"/>
              <w:ind w:left="3" w:hanging="0"/>
              <w:jc w:val="both"/>
              <w:rPr>
                <w:sz w:val="17"/>
              </w:rPr>
            </w:pPr>
            <w:r>
              <w:rPr>
                <w:sz w:val="17"/>
              </w:rPr>
              <w:t>Staré nátěry, u nichž se zanáší póry (barvy na olejové bázi, nátěry se silnou vrstvou), včetně voskových nátěrů, je potřeba beze zbytku obrousit nebo oškrábat. Dále pokračujte tak, jak je popsáno pod bodem Aplikace (viz výše), popř. pozorně sledujte, zda nedojde ke snížení nasákavosti.</w:t>
            </w:r>
          </w:p>
        </w:tc>
      </w:tr>
      <w:tr>
        <w:trPr/>
        <w:tc>
          <w:tcPr>
            <w:tcW w:w="1883" w:type="dxa"/>
            <w:tcBorders/>
            <w:shd w:fill="auto" w:val="clear"/>
          </w:tcPr>
          <w:p>
            <w:pPr>
              <w:pStyle w:val="Normal"/>
              <w:spacing w:lineRule="auto" w:line="240" w:before="0" w:after="0"/>
              <w:rPr>
                <w:b/>
                <w:b/>
                <w:sz w:val="17"/>
              </w:rPr>
            </w:pPr>
            <w:r>
              <w:rPr>
                <w:b/>
                <w:sz w:val="17"/>
              </w:rPr>
            </w:r>
          </w:p>
        </w:tc>
        <w:tc>
          <w:tcPr>
            <w:tcW w:w="8132" w:type="dxa"/>
            <w:gridSpan w:val="2"/>
            <w:tcBorders/>
            <w:shd w:fill="auto" w:val="clear"/>
          </w:tcPr>
          <w:p>
            <w:pPr>
              <w:pStyle w:val="Normal"/>
              <w:spacing w:lineRule="auto" w:line="240" w:before="0" w:after="0"/>
              <w:ind w:left="3" w:hanging="0"/>
              <w:jc w:val="both"/>
              <w:rPr>
                <w:sz w:val="17"/>
              </w:rPr>
            </w:pPr>
            <w:r>
              <w:rPr>
                <w:sz w:val="17"/>
              </w:rPr>
            </w:r>
          </w:p>
        </w:tc>
      </w:tr>
      <w:tr>
        <w:trPr/>
        <w:tc>
          <w:tcPr>
            <w:tcW w:w="1883" w:type="dxa"/>
            <w:tcBorders/>
            <w:shd w:fill="auto" w:val="clear"/>
          </w:tcPr>
          <w:p>
            <w:pPr>
              <w:pStyle w:val="Normal"/>
              <w:spacing w:lineRule="auto" w:line="240" w:before="0" w:after="0"/>
              <w:rPr>
                <w:b/>
                <w:b/>
                <w:sz w:val="17"/>
              </w:rPr>
            </w:pPr>
            <w:r>
              <w:rPr>
                <w:b/>
                <w:sz w:val="17"/>
              </w:rPr>
              <w:t>Péče</w:t>
            </w:r>
          </w:p>
        </w:tc>
        <w:tc>
          <w:tcPr>
            <w:tcW w:w="8132" w:type="dxa"/>
            <w:gridSpan w:val="2"/>
            <w:tcBorders/>
            <w:shd w:fill="auto" w:val="clear"/>
          </w:tcPr>
          <w:p>
            <w:pPr>
              <w:pStyle w:val="Normal"/>
              <w:spacing w:lineRule="auto" w:line="240" w:before="0" w:after="0"/>
              <w:ind w:left="3" w:hanging="0"/>
              <w:jc w:val="both"/>
              <w:rPr>
                <w:sz w:val="17"/>
              </w:rPr>
            </w:pPr>
            <w:r>
              <w:rPr>
                <w:sz w:val="17"/>
              </w:rPr>
              <w:t>Případné tvořící se náznaky napadení houbami na povrchu musí být odstraněny. Jejich výskyt závisí na drsnosti povrchu, světových stranách, návětrné straně, vlhkosti, hustotě porostu atd. Čištění provádějte čistidlem GLOUROS č. 1806 a poté ošetřete přípravkem pro následnou péči KALDET č. 276.</w:t>
            </w:r>
          </w:p>
        </w:tc>
      </w:tr>
      <w:tr>
        <w:trPr/>
        <w:tc>
          <w:tcPr>
            <w:tcW w:w="1883" w:type="dxa"/>
            <w:tcBorders/>
            <w:shd w:fill="auto" w:val="clear"/>
          </w:tcPr>
          <w:p>
            <w:pPr>
              <w:pStyle w:val="Normal"/>
              <w:spacing w:lineRule="auto" w:line="240" w:before="0" w:after="0"/>
              <w:rPr>
                <w:b/>
                <w:b/>
                <w:sz w:val="17"/>
              </w:rPr>
            </w:pPr>
            <w:r>
              <w:rPr>
                <w:b/>
                <w:sz w:val="17"/>
              </w:rPr>
            </w:r>
          </w:p>
        </w:tc>
        <w:tc>
          <w:tcPr>
            <w:tcW w:w="8132" w:type="dxa"/>
            <w:gridSpan w:val="2"/>
            <w:tcBorders/>
            <w:shd w:fill="auto" w:val="clear"/>
          </w:tcPr>
          <w:p>
            <w:pPr>
              <w:pStyle w:val="Normal"/>
              <w:spacing w:lineRule="auto" w:line="240" w:before="0" w:after="0"/>
              <w:ind w:left="3" w:hanging="0"/>
              <w:jc w:val="both"/>
              <w:rPr>
                <w:sz w:val="17"/>
              </w:rPr>
            </w:pPr>
            <w:r>
              <w:rPr>
                <w:sz w:val="17"/>
              </w:rPr>
            </w:r>
          </w:p>
        </w:tc>
      </w:tr>
      <w:tr>
        <w:trPr/>
        <w:tc>
          <w:tcPr>
            <w:tcW w:w="1883" w:type="dxa"/>
            <w:tcBorders/>
            <w:shd w:fill="auto" w:val="clear"/>
          </w:tcPr>
          <w:p>
            <w:pPr>
              <w:pStyle w:val="Normal"/>
              <w:spacing w:lineRule="auto" w:line="240" w:before="0" w:after="0"/>
              <w:rPr>
                <w:b/>
                <w:b/>
                <w:sz w:val="17"/>
              </w:rPr>
            </w:pPr>
            <w:r>
              <w:rPr>
                <w:b/>
                <w:sz w:val="17"/>
              </w:rPr>
              <w:t>Důležitá upozornění</w:t>
            </w:r>
          </w:p>
        </w:tc>
        <w:tc>
          <w:tcPr>
            <w:tcW w:w="8132" w:type="dxa"/>
            <w:gridSpan w:val="2"/>
            <w:tcBorders/>
            <w:shd w:fill="auto" w:val="clear"/>
          </w:tcPr>
          <w:p>
            <w:pPr>
              <w:pStyle w:val="Normal"/>
              <w:spacing w:lineRule="auto" w:line="240" w:before="0" w:after="0"/>
              <w:ind w:left="3" w:hanging="0"/>
              <w:jc w:val="both"/>
              <w:rPr/>
            </w:pPr>
            <w:r>
              <w:rPr>
                <w:sz w:val="17"/>
              </w:rPr>
              <w:t xml:space="preserve">Při koupi více nádob barevné </w:t>
            </w:r>
            <w:r>
              <w:rPr>
                <w:sz w:val="17"/>
              </w:rPr>
              <w:t>lazury</w:t>
            </w:r>
            <w:r>
              <w:rPr>
                <w:sz w:val="17"/>
              </w:rPr>
              <w:t xml:space="preserve"> na dřevo dávejte pozor, aby měly všechny nádoby stejné číslo šarže. Během aplikace a zrání dobře větrejte.</w:t>
            </w:r>
            <w:bookmarkStart w:id="1" w:name="_GoBack"/>
            <w:bookmarkEnd w:id="1"/>
          </w:p>
          <w:p>
            <w:pPr>
              <w:pStyle w:val="Normal"/>
              <w:spacing w:lineRule="auto" w:line="240" w:before="0" w:after="0"/>
              <w:ind w:left="3" w:hanging="0"/>
              <w:jc w:val="both"/>
              <w:rPr>
                <w:sz w:val="17"/>
              </w:rPr>
            </w:pPr>
            <w:r>
              <w:rPr>
                <w:sz w:val="17"/>
              </w:rPr>
            </w:r>
          </w:p>
          <w:p>
            <w:pPr>
              <w:pStyle w:val="Normal"/>
              <w:spacing w:lineRule="auto" w:line="240" w:before="0" w:after="0"/>
              <w:ind w:left="3" w:hanging="0"/>
              <w:jc w:val="both"/>
              <w:rPr/>
            </w:pPr>
            <w:r>
              <w:rPr>
                <w:b/>
                <w:sz w:val="17"/>
              </w:rPr>
              <w:t>Spáry nových oken</w:t>
            </w:r>
            <w:r>
              <w:rPr>
                <w:sz w:val="17"/>
              </w:rPr>
              <w:t xml:space="preserve"> natřete po základním nátěru jen jednou velmi tenkou vrstvou </w:t>
            </w:r>
            <w:r>
              <w:rPr>
                <w:sz w:val="17"/>
              </w:rPr>
              <w:t>lazury</w:t>
            </w:r>
            <w:r>
              <w:rPr>
                <w:sz w:val="17"/>
              </w:rPr>
              <w:t xml:space="preserve"> KALDET č. 281. Silikonové těsnění nasaďte až po úplném zaschnutí nátěru a nepřetírejte je </w:t>
            </w:r>
            <w:r>
              <w:rPr>
                <w:sz w:val="17"/>
              </w:rPr>
              <w:t>lazurou</w:t>
            </w:r>
            <w:r>
              <w:rPr>
                <w:sz w:val="17"/>
              </w:rPr>
              <w:t>. Tmel na bázi lněného oleje lze přetírat po 1 dni.</w:t>
            </w:r>
          </w:p>
          <w:p>
            <w:pPr>
              <w:pStyle w:val="Normal"/>
              <w:spacing w:lineRule="auto" w:line="240" w:before="0" w:after="0"/>
              <w:ind w:left="3" w:hanging="0"/>
              <w:jc w:val="both"/>
              <w:rPr>
                <w:sz w:val="17"/>
              </w:rPr>
            </w:pPr>
            <w:r>
              <w:rPr>
                <w:sz w:val="17"/>
              </w:rPr>
            </w:r>
          </w:p>
          <w:p>
            <w:pPr>
              <w:pStyle w:val="Normal"/>
              <w:spacing w:lineRule="auto" w:line="240" w:before="0" w:after="0"/>
              <w:ind w:left="3" w:hanging="0"/>
              <w:jc w:val="both"/>
              <w:rPr>
                <w:sz w:val="17"/>
              </w:rPr>
            </w:pPr>
            <w:r>
              <w:rPr>
                <w:sz w:val="17"/>
              </w:rPr>
              <w:t xml:space="preserve">Při míchání barevných odstínů jako ultramarínová nebo stará modrá se světle šedou, ebenovým dřevem, může být nátěr náchylný k separaci pigmentů, kterou lze minimalizovat neustálým mícháním při aplikaci. Dále každých 10 minut znovu přetřete ve směru textury dřeva. </w:t>
            </w:r>
          </w:p>
          <w:p>
            <w:pPr>
              <w:pStyle w:val="Normal"/>
              <w:spacing w:lineRule="auto" w:line="240" w:before="0" w:after="0"/>
              <w:ind w:left="3" w:hanging="0"/>
              <w:jc w:val="both"/>
              <w:rPr>
                <w:sz w:val="17"/>
              </w:rPr>
            </w:pPr>
            <w:r>
              <w:rPr>
                <w:sz w:val="17"/>
              </w:rPr>
            </w:r>
          </w:p>
          <w:p>
            <w:pPr>
              <w:pStyle w:val="Normal"/>
              <w:spacing w:lineRule="auto" w:line="240" w:before="0" w:after="0"/>
              <w:ind w:left="3" w:hanging="0"/>
              <w:jc w:val="both"/>
              <w:rPr/>
            </w:pPr>
            <w:r>
              <w:rPr>
                <w:sz w:val="17"/>
              </w:rPr>
              <w:t xml:space="preserve">Pokud </w:t>
            </w:r>
            <w:r>
              <w:rPr>
                <w:sz w:val="17"/>
              </w:rPr>
              <w:t>lazura</w:t>
            </w:r>
            <w:r>
              <w:rPr>
                <w:sz w:val="17"/>
              </w:rPr>
              <w:t xml:space="preserve"> při nanášení pění nebo se tvoří bubliny, může být příčinou nepřilnavost k povrchu z důvodu úpravy před nanášením </w:t>
            </w:r>
            <w:r>
              <w:rPr>
                <w:sz w:val="17"/>
              </w:rPr>
              <w:t>lazury</w:t>
            </w:r>
            <w:r>
              <w:rPr>
                <w:sz w:val="17"/>
              </w:rPr>
              <w:t xml:space="preserve"> nebo příliš jemné vybroušení. Vyřešíte případně přebroušením hrubším zrnem.</w:t>
            </w:r>
          </w:p>
        </w:tc>
      </w:tr>
      <w:tr>
        <w:trPr>
          <w:trHeight w:val="214" w:hRule="atLeast"/>
        </w:trPr>
        <w:tc>
          <w:tcPr>
            <w:tcW w:w="2124" w:type="dxa"/>
            <w:gridSpan w:val="2"/>
            <w:tcBorders/>
            <w:shd w:fill="auto" w:val="clear"/>
          </w:tcPr>
          <w:p>
            <w:pPr>
              <w:pStyle w:val="Normal"/>
              <w:spacing w:lineRule="auto" w:line="240" w:before="0" w:after="0"/>
              <w:rPr/>
            </w:pPr>
            <w:r>
              <w:rPr/>
            </w:r>
          </w:p>
        </w:tc>
        <w:tc>
          <w:tcPr>
            <w:tcW w:w="7891" w:type="dxa"/>
            <w:tcBorders/>
            <w:shd w:fill="auto" w:val="clear"/>
          </w:tcPr>
          <w:p>
            <w:pPr>
              <w:pStyle w:val="Normal"/>
              <w:spacing w:lineRule="auto" w:line="240" w:before="0" w:after="0"/>
              <w:ind w:left="3" w:hanging="0"/>
              <w:jc w:val="center"/>
              <w:rPr/>
            </w:pPr>
            <w:r>
              <w:rPr/>
            </w:r>
          </w:p>
        </w:tc>
      </w:tr>
    </w:tbl>
    <w:p>
      <w:pPr>
        <w:pStyle w:val="Normal"/>
        <w:spacing w:lineRule="auto" w:line="240" w:before="0" w:after="0"/>
        <w:ind w:right="1" w:hanging="0"/>
        <w:jc w:val="both"/>
        <w:rPr/>
      </w:pPr>
      <w:r>
        <w:rPr>
          <w:sz w:val="16"/>
        </w:rPr>
        <w:t>Všechny údaje jsou výsledkem mnohaletého výzkumu a testování v praxi. Jsou podloženy našimi nejaktuálnějšími odbornými poznatky. Vydáním nové verze technického listu pozbývá tato verze technického listu platnost. Aktuální nejnovější verzi lze nalézt na www.livos.de. Technický list slouží pro informaci a poradenství. Nelze z něj vyvozovat právní odpovědnost. V případě pochyb se obraťte na maloobchodního či velkoobchodními prodejce či výrobce.</w:t>
      </w:r>
    </w:p>
    <w:p>
      <w:pPr>
        <w:pStyle w:val="Normal"/>
        <w:spacing w:lineRule="auto" w:line="240" w:before="0" w:after="0"/>
        <w:rPr/>
      </w:pPr>
      <w:r>
        <w:rPr>
          <w:sz w:val="16"/>
        </w:rPr>
        <w:t xml:space="preserve"> </w:t>
      </w:r>
    </w:p>
    <w:p>
      <w:pPr>
        <w:pStyle w:val="Normal"/>
        <w:spacing w:lineRule="auto" w:line="240" w:before="0" w:after="0"/>
        <w:ind w:left="4" w:hanging="4"/>
        <w:jc w:val="both"/>
        <w:rPr/>
      </w:pPr>
      <w:r>
        <w:rPr>
          <w:sz w:val="18"/>
        </w:rPr>
        <w:t>Duben 2017</w:t>
      </w:r>
      <w:r>
        <w:rPr>
          <w:sz w:val="20"/>
        </w:rPr>
        <w:t xml:space="preserve"> </w:t>
      </w:r>
    </w:p>
    <w:sectPr>
      <w:headerReference w:type="default" r:id="rId3"/>
      <w:headerReference w:type="first" r:id="rId4"/>
      <w:footerReference w:type="default" r:id="rId5"/>
      <w:footerReference w:type="first" r:id="rId6"/>
      <w:type w:val="nextPage"/>
      <w:pgSz w:w="11906" w:h="16838"/>
      <w:pgMar w:left="1142" w:right="783" w:header="708" w:top="864" w:footer="708" w:bottom="765" w:gutter="0"/>
      <w:pgNumType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b/>
        <w:b/>
      </w:rPr>
    </w:pPr>
    <w:r>
      <w:rPr>
        <w:b/>
      </w:rPr>
      <w:t xml:space="preserve">LIVOS Pflanzenchemie </w:t>
    </w:r>
    <w:r>
      <w:rPr>
        <w:b/>
        <w:sz w:val="18"/>
        <w:szCs w:val="18"/>
      </w:rPr>
      <w:t>D – 29559 Wrestedt OT Emern · Tel. 0 58 25 / 88 - 0 · Fax 88 60 · www.livos.de · info@livos.de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i/>
        <w:i/>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cs-CZ" w:eastAsia="cs-CZ"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000000"/>
      <w:kern w:val="0"/>
      <w:sz w:val="22"/>
      <w:szCs w:val="22"/>
      <w:lang w:val="cs-CZ" w:eastAsia="cs-CZ" w:bidi="ar-SA"/>
    </w:rPr>
  </w:style>
  <w:style w:type="paragraph" w:styleId="Nadpis1">
    <w:name w:val="Heading 1"/>
    <w:basedOn w:val="Normal"/>
    <w:next w:val="Normal"/>
    <w:link w:val="Nadpis1Char"/>
    <w:uiPriority w:val="9"/>
    <w:qFormat/>
    <w:pPr>
      <w:keepNext w:val="true"/>
      <w:keepLines/>
      <w:widowControl/>
      <w:bidi w:val="0"/>
      <w:spacing w:before="0" w:after="0"/>
      <w:jc w:val="left"/>
      <w:outlineLvl w:val="0"/>
    </w:pPr>
    <w:rPr>
      <w:rFonts w:ascii="Calibri" w:hAnsi="Calibri" w:eastAsia="Calibri" w:cs="Calibri"/>
      <w:b/>
      <w:color w:val="000000"/>
      <w:sz w:val="44"/>
    </w:rPr>
  </w:style>
  <w:style w:type="paragraph" w:styleId="Nadpis2">
    <w:name w:val="Heading 2"/>
    <w:basedOn w:val="Normal"/>
    <w:next w:val="Normal"/>
    <w:link w:val="Nadpis2Char"/>
    <w:uiPriority w:val="9"/>
    <w:unhideWhenUsed/>
    <w:qFormat/>
    <w:pPr>
      <w:keepNext w:val="true"/>
      <w:keepLines/>
      <w:widowControl/>
      <w:bidi w:val="0"/>
      <w:spacing w:lineRule="auto" w:line="228" w:before="0" w:after="0"/>
      <w:ind w:right="3634" w:hanging="0"/>
      <w:jc w:val="left"/>
      <w:outlineLvl w:val="1"/>
    </w:pPr>
    <w:rPr>
      <w:rFonts w:ascii="Calibri" w:hAnsi="Calibri" w:eastAsia="Calibri" w:cs="Calibri"/>
      <w:b/>
      <w:color w:val="000000"/>
      <w:sz w:val="40"/>
    </w:rPr>
  </w:style>
  <w:style w:type="character" w:styleId="DefaultParagraphFont" w:default="1">
    <w:name w:val="Default Paragraph Font"/>
    <w:uiPriority w:val="1"/>
    <w:semiHidden/>
    <w:unhideWhenUsed/>
    <w:qFormat/>
    <w:rPr/>
  </w:style>
  <w:style w:type="character" w:styleId="Nadpis2Char" w:customStyle="1">
    <w:name w:val="Nadpis 2 Char"/>
    <w:link w:val="Nadpis2"/>
    <w:qFormat/>
    <w:rPr>
      <w:rFonts w:ascii="Calibri" w:hAnsi="Calibri" w:eastAsia="Calibri" w:cs="Calibri"/>
      <w:b/>
      <w:color w:val="000000"/>
      <w:sz w:val="40"/>
    </w:rPr>
  </w:style>
  <w:style w:type="character" w:styleId="Nadpis1Char" w:customStyle="1">
    <w:name w:val="Nadpis 1 Char"/>
    <w:link w:val="Nadpis1"/>
    <w:qFormat/>
    <w:rPr>
      <w:rFonts w:ascii="Calibri" w:hAnsi="Calibri" w:eastAsia="Calibri" w:cs="Calibri"/>
      <w:b/>
      <w:color w:val="000000"/>
      <w:sz w:val="44"/>
    </w:rPr>
  </w:style>
  <w:style w:type="character" w:styleId="ZhlavChar" w:customStyle="1">
    <w:name w:val="Záhlaví Char"/>
    <w:basedOn w:val="DefaultParagraphFont"/>
    <w:link w:val="Zhlav"/>
    <w:uiPriority w:val="99"/>
    <w:qFormat/>
    <w:rsid w:val="00730fe1"/>
    <w:rPr>
      <w:rFonts w:ascii="Calibri" w:hAnsi="Calibri" w:eastAsia="Calibri" w:cs="Calibri"/>
      <w:color w:val="000000"/>
    </w:rPr>
  </w:style>
  <w:style w:type="character" w:styleId="ZpatChar" w:customStyle="1">
    <w:name w:val="Zápatí Char"/>
    <w:basedOn w:val="DefaultParagraphFont"/>
    <w:link w:val="Zpat"/>
    <w:uiPriority w:val="99"/>
    <w:qFormat/>
    <w:rsid w:val="00730fe1"/>
    <w:rPr>
      <w:rFonts w:ascii="Calibri" w:hAnsi="Calibri" w:eastAsia="Calibri" w:cs="Calibri"/>
      <w:color w:val="000000"/>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Zhlav">
    <w:name w:val="Header"/>
    <w:basedOn w:val="Normal"/>
    <w:link w:val="ZhlavChar"/>
    <w:uiPriority w:val="99"/>
    <w:unhideWhenUsed/>
    <w:rsid w:val="00730fe1"/>
    <w:pPr>
      <w:tabs>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730fe1"/>
    <w:pPr>
      <w:tabs>
        <w:tab w:val="center" w:pos="4536" w:leader="none"/>
        <w:tab w:val="right" w:pos="9072" w:leader="none"/>
      </w:tabs>
      <w:spacing w:lineRule="auto" w:line="240" w:before="0" w:after="0"/>
    </w:pPr>
    <w:rPr/>
  </w:style>
  <w:style w:type="paragraph" w:styleId="Obsahtabulky">
    <w:name w:val="Obsah tabulky"/>
    <w:basedOn w:val="Normal"/>
    <w:qFormat/>
    <w:pPr>
      <w:suppressLineNumbers/>
    </w:pPr>
    <w:rPr/>
  </w:style>
  <w:style w:type="paragraph" w:styleId="Nadpistabulky">
    <w:name w:val="Nadpis tabulky"/>
    <w:basedOn w:val="Obsahtabulky"/>
    <w:qFormat/>
    <w:pPr>
      <w:suppressLineNumbers/>
      <w:jc w:val="center"/>
    </w:pPr>
    <w:rPr>
      <w:b/>
      <w:bCs/>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 w:type="table" w:styleId="Mkatabulky">
    <w:name w:val="Table Grid"/>
    <w:basedOn w:val="Normlntabulka"/>
    <w:uiPriority w:val="39"/>
    <w:rsid w:val="00730fe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785</TotalTime>
  <Application>LibreOffice/6.1.0.3$Windows_X86_64 LibreOffice_project/efb621ed25068d70781dc026f7e9c5187a4decd1</Application>
  <Pages>2</Pages>
  <Words>1039</Words>
  <Characters>5855</Characters>
  <CharactersWithSpaces>6820</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2019-03-13T09:41:00Z</dcterms:created>
  <dc:creator>Autor</dc:creator>
  <dc:description/>
  <dc:language>cs-CZ</dc:language>
  <cp:lastModifiedBy/>
  <dcterms:modified xsi:type="dcterms:W3CDTF">2019-03-22T13:49:14Z</dcterms:modified>
  <cp:revision>15</cp:revision>
  <dc:subject/>
  <dc:title>Microsoft Word - TM 281 Rev. 4.8.docx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